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ageBreakBefore w:val="0"/>
        <w:shd w:fill="ffffff" w:val="clear"/>
        <w:spacing w:before="280" w:lineRule="auto"/>
        <w:rPr/>
      </w:pPr>
      <w:bookmarkStart w:colFirst="0" w:colLast="0" w:name="_zckrfwvvzxv" w:id="0"/>
      <w:bookmarkEnd w:id="0"/>
      <w:r w:rsidDel="00000000" w:rsidR="00000000" w:rsidRPr="00000000">
        <w:rPr>
          <w:rtl w:val="0"/>
        </w:rPr>
        <w:t xml:space="preserve">Tissue isolation and embedding in OCT (Optimal Cutting Temperature Compound)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Dissect tissue (e.g. bladder, ureter, etc.) rapidly and place each specimen in OCT using a plastic mold (Fisher Scientific).</w:t>
        <w:br w:type="textWrapping"/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Be sure the specimen is covered in central position, not too near the top and in the desired orientation for sectioning.</w:t>
        <w:br w:type="textWrapping"/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Immediately freeze the sample by placing it on dry ice.</w:t>
        <w:br w:type="textWrapping"/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When the OCT is completely frozen keep the mold in dry ice, and then store long term in liquid nitrogen freezer or at  –80°C.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Verdana" w:cs="Verdana" w:eastAsia="Verdana" w:hAnsi="Verdana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