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color w:val="1A2C5B"/>
          <w:sz w:val="52"/>
        </w:rPr>
        <w:t>U.E. COLEGIO ANDRÉS BELLO</w:t>
      </w:r>
    </w:p>
    <w:p>
      <w:pPr>
        <w:jc w:val="center"/>
      </w:pPr>
      <w:r>
        <w:rPr>
          <w:b/>
          <w:color w:val="2471A3"/>
          <w:sz w:val="34"/>
        </w:rPr>
        <w:t>Plan de Negocios — Adquisición Institucional</w:t>
      </w:r>
    </w:p>
    <w:p>
      <w:pPr>
        <w:jc w:val="center"/>
      </w:pPr>
      <w:r>
        <w:rPr>
          <w:i/>
          <w:color w:val="777777"/>
          <w:sz w:val="21"/>
        </w:rPr>
        <w:t>Documento Confidencial · Exclusivo para Revisión de Inversores</w:t>
      </w:r>
    </w:p>
    <w:p/>
    <w:tbl>
      <w:tblPr>
        <w:tblW w:type="auto" w:w="0"/>
        <w:jc w:val="center"/>
        <w:tblLook w:firstColumn="1" w:firstRow="1" w:lastColumn="0" w:lastRow="0" w:noHBand="0" w:noVBand="1" w:val="04A0"/>
      </w:tblPr>
      <w:tblGrid>
        <w:gridCol w:w="4533"/>
        <w:gridCol w:w="4533"/>
      </w:tblGrid>
      <w:tr>
        <w:tc>
          <w:tcPr>
            <w:tcW w:type="dxa" w:w="4535"/>
            <w:shd w:val="clear" w:color="auto" w:fill="1A2C5B"/>
            <w:tcMar>
              <w:top w:w="120" w:type="dxa"/>
              <w:bottom w:w="120" w:type="dxa"/>
              <w:left w:w="120" w:type="dxa"/>
              <w:right w:w="120" w:type="dxa"/>
            </w:tcMar>
          </w:tcPr>
          <w:p>
            <w:pPr>
              <w:jc w:val="center"/>
            </w:pPr>
            <w:r>
              <w:rPr>
                <w:b/>
                <w:color w:val="FFFFFF"/>
                <w:sz w:val="18"/>
              </w:rPr>
              <w:t>Fundación</w:t>
              <w:br/>
            </w:r>
            <w:r>
              <w:rPr>
                <w:b/>
                <w:color w:val="FFFFFF"/>
                <w:sz w:val="24"/>
              </w:rPr>
              <w:t>1978 — 48 Años de Trayectoria</w:t>
            </w:r>
          </w:p>
        </w:tc>
        <w:tc>
          <w:tcPr>
            <w:tcW w:type="dxa" w:w="4535"/>
            <w:shd w:val="clear" w:color="auto" w:fill="F0F4FA"/>
            <w:tcMar>
              <w:top w:w="120" w:type="dxa"/>
              <w:bottom w:w="120" w:type="dxa"/>
              <w:left w:w="120" w:type="dxa"/>
              <w:right w:w="120" w:type="dxa"/>
            </w:tcMar>
          </w:tcPr>
          <w:p>
            <w:pPr>
              <w:jc w:val="center"/>
            </w:pPr>
            <w:r>
              <w:rPr>
                <w:b/>
                <w:color w:val="1A2C5B"/>
                <w:sz w:val="18"/>
              </w:rPr>
              <w:t>Alumnos Matriculados</w:t>
              <w:br/>
            </w:r>
            <w:r>
              <w:rPr>
                <w:b/>
                <w:color w:val="1A2C5B"/>
                <w:sz w:val="24"/>
              </w:rPr>
              <w:t>207 estudiantes</w:t>
            </w:r>
          </w:p>
        </w:tc>
      </w:tr>
      <w:tr>
        <w:tc>
          <w:tcPr>
            <w:tcW w:type="dxa" w:w="4535"/>
            <w:shd w:val="clear" w:color="auto" w:fill="1A2C5B"/>
            <w:tcMar>
              <w:top w:w="120" w:type="dxa"/>
              <w:bottom w:w="120" w:type="dxa"/>
              <w:left w:w="120" w:type="dxa"/>
              <w:right w:w="120" w:type="dxa"/>
            </w:tcMar>
          </w:tcPr>
          <w:p>
            <w:pPr>
              <w:jc w:val="center"/>
            </w:pPr>
            <w:r>
              <w:rPr>
                <w:b/>
                <w:color w:val="FFFFFF"/>
                <w:sz w:val="18"/>
              </w:rPr>
              <w:t>Año Escolar</w:t>
              <w:br/>
            </w:r>
            <w:r>
              <w:rPr>
                <w:b/>
                <w:color w:val="FFFFFF"/>
                <w:sz w:val="24"/>
              </w:rPr>
              <w:t>2026 – 2027</w:t>
            </w:r>
          </w:p>
        </w:tc>
        <w:tc>
          <w:tcPr>
            <w:tcW w:type="dxa" w:w="4535"/>
            <w:shd w:val="clear" w:color="auto" w:fill="F0F4FA"/>
            <w:tcMar>
              <w:top w:w="120" w:type="dxa"/>
              <w:bottom w:w="120" w:type="dxa"/>
              <w:left w:w="120" w:type="dxa"/>
              <w:right w:w="120" w:type="dxa"/>
            </w:tcMar>
          </w:tcPr>
          <w:p>
            <w:pPr>
              <w:jc w:val="center"/>
            </w:pPr>
            <w:r>
              <w:rPr>
                <w:b/>
                <w:color w:val="1A2C5B"/>
                <w:sz w:val="18"/>
              </w:rPr>
              <w:t>Ingreso Mensual Estimado</w:t>
              <w:br/>
            </w:r>
            <w:r>
              <w:rPr>
                <w:b/>
                <w:color w:val="1A2C5B"/>
                <w:sz w:val="24"/>
              </w:rPr>
              <w:t>≈ USD 45,126</w:t>
            </w:r>
          </w:p>
        </w:tc>
      </w:tr>
    </w:tbl>
    <w:p/>
    <w:p>
      <w:pPr>
        <w:jc w:val="center"/>
      </w:pPr>
      <w:r>
        <w:rPr>
          <w:b/>
          <w:color w:val="999999"/>
          <w:sz w:val="18"/>
        </w:rPr>
        <w:t>ESTRICTAMENTE CONFIDENCIAL — NO DISTRIBUIR</w:t>
      </w:r>
    </w:p>
    <w:p>
      <w:r>
        <w:br w:type="page"/>
      </w:r>
    </w:p>
    <w:tbl>
      <w:tblPr>
        <w:tblW w:type="auto" w:w="0"/>
        <w:jc w:val="center"/>
        <w:tblLook w:firstColumn="1" w:firstRow="1" w:lastColumn="0" w:lastRow="0" w:noHBand="0" w:noVBand="1" w:val="04A0"/>
      </w:tblPr>
      <w:tblGrid>
        <w:gridCol w:w="9066"/>
      </w:tblGrid>
      <w:tr>
        <w:tc>
          <w:tcPr>
            <w:tcW w:type="dxa" w:w="9066"/>
            <w:shd w:val="clear" w:color="auto" w:fill="1A2C5B"/>
            <w:tcMar>
              <w:top w:w="100" w:type="dxa"/>
              <w:bottom w:w="100" w:type="dxa"/>
              <w:left w:w="100" w:type="dxa"/>
              <w:right w:w="100" w:type="dxa"/>
            </w:tcMar>
          </w:tcPr>
          <w:p>
            <w:pPr>
              <w:spacing w:before="40" w:after="40"/>
              <w:jc w:val="center"/>
            </w:pPr>
            <w:r>
              <w:rPr>
                <w:b/>
                <w:color w:val="FFFFFF"/>
                <w:sz w:val="30"/>
              </w:rPr>
              <w:t>1 · RESUMEN EJECUTIVO</w:t>
            </w:r>
          </w:p>
        </w:tc>
      </w:tr>
    </w:tbl>
    <w:p>
      <w:pPr>
        <w:spacing w:after="40"/>
      </w:pPr>
    </w:p>
    <w:p>
      <w:pPr>
        <w:spacing w:before="40" w:after="80"/>
      </w:pPr>
      <w:r>
        <w:rPr>
          <w:b w:val="0"/>
          <w:i w:val="0"/>
          <w:color w:val="444444"/>
          <w:sz w:val="21"/>
        </w:rPr>
        <w:t>El presente documento expone una oportunidad de adquisición estructurada para la U.E. Colegio Andrés Bello, institución privada de educación K-12 con 48 años de operación ininterrumpida en El Tigre, Anzoátegui, Venezuela. La institución es financieramente autosuficiente, atiende 207 alumnos matriculados en cinco niveles académicos y genera ingresos anuales estimados en aproximadamente USD 510,000 a las tarifas vigentes aprobadas para el año escolar 2026-2027.</w:t>
      </w:r>
    </w:p>
    <w:p>
      <w:pPr>
        <w:spacing w:before="40" w:after="80"/>
      </w:pPr>
      <w:r>
        <w:rPr>
          <w:b w:val="0"/>
          <w:i w:val="0"/>
          <w:color w:val="444444"/>
          <w:sz w:val="21"/>
        </w:rPr>
        <w:t>La transacción propuesta transfiere la propiedad total de la institución a un inversor calificado, manteniendo el liderazgo ejecutivo actual bajo un contrato de empleo formal, garantizando así la continuidad operativa y protegiendo el prestigio académico y el posicionamiento comunitario del plantel.</w:t>
      </w:r>
    </w:p>
    <w:tbl>
      <w:tblPr>
        <w:tblW w:type="auto" w:w="0"/>
        <w:tblLook w:firstColumn="1" w:firstRow="1" w:lastColumn="0" w:lastRow="0" w:noHBand="0" w:noVBand="1" w:val="04A0"/>
      </w:tblPr>
      <w:tblGrid>
        <w:gridCol w:w="9066"/>
      </w:tblGrid>
      <w:tr>
        <w:tc>
          <w:tcPr>
            <w:tcW w:type="dxa" w:w="9066"/>
            <w:shd w:val="clear" w:color="auto" w:fill="F0F4FA"/>
            <w:tcMar>
              <w:top w:w="120" w:type="dxa"/>
              <w:bottom w:w="120" w:type="dxa"/>
              <w:left w:w="120" w:type="dxa"/>
              <w:right w:w="120" w:type="dxa"/>
            </w:tcMar>
          </w:tcPr>
          <w:p>
            <w:pPr>
              <w:jc w:val="center"/>
            </w:pPr>
            <w:r>
              <w:rPr>
                <w:b/>
                <w:color w:val="1A2C5B"/>
                <w:sz w:val="21"/>
              </w:rPr>
              <w:t xml:space="preserve"> ◆  EBITDA Anual Estimado: USD 86K – 137K  ·  ROI Proyectado: 6.6% – 11.1%  ·  Período de Recuperación: 7 – 11 años  ◆ </w:t>
            </w:r>
          </w:p>
        </w:tc>
      </w:tr>
    </w:tbl>
    <w:p>
      <w:pPr>
        <w:spacing w:after="40"/>
      </w:pPr>
    </w:p>
    <w:p>
      <w:pPr>
        <w:spacing w:before="20" w:after="60"/>
      </w:pPr>
      <w:r>
        <w:rPr>
          <w:b/>
          <w:color w:val="1A2C5B"/>
          <w:sz w:val="21"/>
        </w:rPr>
        <w:t xml:space="preserve">Tipo de Oportunidad:  </w:t>
      </w:r>
      <w:r>
        <w:rPr>
          <w:color w:val="444444"/>
          <w:sz w:val="21"/>
        </w:rPr>
        <w:t>Adquisición total (activos + marca + matrícula + contratos de personal)</w:t>
      </w:r>
    </w:p>
    <w:p>
      <w:pPr>
        <w:spacing w:before="20" w:after="60"/>
      </w:pPr>
      <w:r>
        <w:rPr>
          <w:b/>
          <w:color w:val="1A2C5B"/>
          <w:sz w:val="21"/>
        </w:rPr>
        <w:t xml:space="preserve">CEO Retenido:  </w:t>
      </w:r>
      <w:r>
        <w:rPr>
          <w:color w:val="444444"/>
          <w:sz w:val="21"/>
        </w:rPr>
        <w:t>Director/a ejecutivo/a actual — contrato de empleo USD 4,500 / mes</w:t>
      </w:r>
    </w:p>
    <w:p>
      <w:pPr>
        <w:spacing w:before="20" w:after="60"/>
      </w:pPr>
      <w:r>
        <w:rPr>
          <w:b/>
          <w:color w:val="1A2C5B"/>
          <w:sz w:val="21"/>
        </w:rPr>
        <w:t xml:space="preserve">Rango de Inversión:  </w:t>
      </w:r>
      <w:r>
        <w:rPr>
          <w:color w:val="444444"/>
          <w:sz w:val="21"/>
        </w:rPr>
        <w:t>USD 1,000,000 – 1,800,000 (negociable; ver sección de Valuación)</w:t>
      </w:r>
    </w:p>
    <w:p>
      <w:pPr>
        <w:spacing w:before="20" w:after="60"/>
      </w:pPr>
      <w:r>
        <w:rPr>
          <w:b/>
          <w:color w:val="1A2C5B"/>
          <w:sz w:val="21"/>
        </w:rPr>
        <w:t xml:space="preserve">Fundación del Plantel:  </w:t>
      </w:r>
      <w:r>
        <w:rPr>
          <w:color w:val="444444"/>
          <w:sz w:val="21"/>
        </w:rPr>
        <w:t>1978 — 48 años de operación continua</w:t>
      </w:r>
    </w:p>
    <w:p>
      <w:pPr>
        <w:spacing w:before="20" w:after="60"/>
      </w:pPr>
      <w:r>
        <w:rPr>
          <w:b/>
          <w:color w:val="1A2C5B"/>
          <w:sz w:val="21"/>
        </w:rPr>
        <w:t xml:space="preserve">Niveles Académicos:  </w:t>
      </w:r>
      <w:r>
        <w:rPr>
          <w:color w:val="444444"/>
          <w:sz w:val="21"/>
        </w:rPr>
        <w:t>Maternal · Inicial I-III · Primaria · Bachillerato</w:t>
      </w:r>
    </w:p>
    <w:p>
      <w:pPr>
        <w:spacing w:before="20" w:after="60"/>
      </w:pPr>
      <w:r>
        <w:rPr>
          <w:b/>
          <w:color w:val="1A2C5B"/>
          <w:sz w:val="21"/>
        </w:rPr>
        <w:t xml:space="preserve">Personal:  </w:t>
      </w:r>
      <w:r>
        <w:rPr>
          <w:color w:val="444444"/>
          <w:sz w:val="21"/>
        </w:rPr>
        <w:t>43 empleados activos (docentes, administración, obreros, directivos)</w:t>
      </w:r>
    </w:p>
    <w:p>
      <w:pPr>
        <w:spacing w:before="20" w:after="60"/>
      </w:pPr>
      <w:r>
        <w:rPr>
          <w:b/>
          <w:color w:val="1A2C5B"/>
          <w:sz w:val="21"/>
        </w:rPr>
        <w:t xml:space="preserve">Tasa de Cambio Planificada:  </w:t>
      </w:r>
      <w:r>
        <w:rPr>
          <w:color w:val="444444"/>
          <w:sz w:val="21"/>
        </w:rPr>
        <w:t>Bs. 788 / USD 1.00 (proyección sep. 2026)</w:t>
      </w:r>
    </w:p>
    <w:p>
      <w:r>
        <w:br w:type="page"/>
      </w:r>
    </w:p>
    <w:tbl>
      <w:tblPr>
        <w:tblW w:type="auto" w:w="0"/>
        <w:jc w:val="center"/>
        <w:tblLook w:firstColumn="1" w:firstRow="1" w:lastColumn="0" w:lastRow="0" w:noHBand="0" w:noVBand="1" w:val="04A0"/>
      </w:tblPr>
      <w:tblGrid>
        <w:gridCol w:w="9066"/>
      </w:tblGrid>
      <w:tr>
        <w:tc>
          <w:tcPr>
            <w:tcW w:type="dxa" w:w="9066"/>
            <w:shd w:val="clear" w:color="auto" w:fill="1A2C5B"/>
            <w:tcMar>
              <w:top w:w="100" w:type="dxa"/>
              <w:bottom w:w="100" w:type="dxa"/>
              <w:left w:w="100" w:type="dxa"/>
              <w:right w:w="100" w:type="dxa"/>
            </w:tcMar>
          </w:tcPr>
          <w:p>
            <w:pPr>
              <w:spacing w:before="40" w:after="40"/>
              <w:jc w:val="center"/>
            </w:pPr>
            <w:r>
              <w:rPr>
                <w:b/>
                <w:color w:val="FFFFFF"/>
                <w:sz w:val="30"/>
              </w:rPr>
              <w:t>2 · PERFIL INSTITUCIONAL</w:t>
            </w:r>
          </w:p>
        </w:tc>
      </w:tr>
    </w:tbl>
    <w:p>
      <w:pPr>
        <w:spacing w:after="40"/>
      </w:pPr>
    </w:p>
    <w:p>
      <w:pPr>
        <w:spacing w:before="200" w:after="60"/>
        <w:pBdr>
          <w:bottom w:val="single" w:sz="6" w:space="1" w:color="1A2C5B"/>
        </w:pBdr>
      </w:pPr>
      <w:r>
        <w:rPr>
          <w:b/>
          <w:color w:val="1A2C5B"/>
          <w:sz w:val="22"/>
        </w:rPr>
        <w:t>2.1  DESCRIPCIÓN GENERAL</w:t>
      </w:r>
    </w:p>
    <w:p>
      <w:pPr>
        <w:spacing w:before="40" w:after="80"/>
      </w:pPr>
      <w:r>
        <w:rPr>
          <w:b w:val="0"/>
          <w:i w:val="0"/>
          <w:color w:val="444444"/>
          <w:sz w:val="21"/>
        </w:rPr>
        <w:t>La U.E. Colegio Andrés Bello es un plantel privado con acreditación del Ministerio del Poder Popular para la Educación (MPPE), que ofrece educación completa desde preescolar hasta bachillerato. Fundado en 1978, la institución ha construido una marca sólida durante casi cinco décadas, atendiendo a múltiples generaciones de familias en la región de Anzoátegui.</w:t>
      </w:r>
    </w:p>
    <w:tbl>
      <w:tblPr>
        <w:tblStyle w:val="TableGrid"/>
        <w:tblW w:type="auto" w:w="0"/>
        <w:tblLook w:firstColumn="1" w:firstRow="1" w:lastColumn="0" w:lastRow="0" w:noHBand="0" w:noVBand="1" w:val="04A0"/>
      </w:tblPr>
      <w:tblGrid>
        <w:gridCol w:w="4533"/>
        <w:gridCol w:w="4533"/>
      </w:tblGrid>
      <w:tr>
        <w:tc>
          <w:tcPr>
            <w:tcW w:type="dxa" w:w="3969"/>
            <w:shd w:val="clear" w:color="auto" w:fill="1A2C5B"/>
          </w:tcPr>
          <w:p>
            <w:pPr>
              <w:jc w:val="center"/>
            </w:pPr>
            <w:r>
              <w:rPr>
                <w:b/>
                <w:color w:val="FFFFFF"/>
                <w:sz w:val="19"/>
              </w:rPr>
              <w:t>Atributo</w:t>
            </w:r>
          </w:p>
        </w:tc>
        <w:tc>
          <w:tcPr>
            <w:tcW w:type="dxa" w:w="5102"/>
            <w:shd w:val="clear" w:color="auto" w:fill="1A2C5B"/>
          </w:tcPr>
          <w:p>
            <w:pPr>
              <w:jc w:val="center"/>
            </w:pPr>
            <w:r>
              <w:rPr>
                <w:b/>
                <w:color w:val="FFFFFF"/>
                <w:sz w:val="19"/>
              </w:rPr>
              <w:t>Detalle</w:t>
            </w:r>
          </w:p>
        </w:tc>
      </w:tr>
      <w:tr>
        <w:tc>
          <w:tcPr>
            <w:tcW w:type="dxa" w:w="3969"/>
            <w:shd w:val="clear" w:color="auto" w:fill="F0F4FA"/>
          </w:tcPr>
          <w:p>
            <w:pPr>
              <w:jc w:val="left"/>
            </w:pPr>
            <w:r>
              <w:rPr>
                <w:b/>
                <w:color w:val="1A2C5B"/>
                <w:sz w:val="19"/>
              </w:rPr>
              <w:t>Nombre Legal</w:t>
            </w:r>
          </w:p>
        </w:tc>
        <w:tc>
          <w:tcPr>
            <w:tcW w:type="dxa" w:w="5102"/>
            <w:shd w:val="clear" w:color="auto" w:fill="F0F4FA"/>
          </w:tcPr>
          <w:p>
            <w:pPr>
              <w:jc w:val="right"/>
            </w:pPr>
            <w:r>
              <w:rPr>
                <w:color w:val="333333"/>
                <w:sz w:val="19"/>
              </w:rPr>
              <w:t>U.E. Colegio Andrés Bello</w:t>
            </w:r>
          </w:p>
        </w:tc>
      </w:tr>
      <w:tr>
        <w:tc>
          <w:tcPr>
            <w:tcW w:type="dxa" w:w="3969"/>
            <w:shd w:val="clear" w:color="auto" w:fill="FFFFFF"/>
          </w:tcPr>
          <w:p>
            <w:pPr>
              <w:jc w:val="left"/>
            </w:pPr>
            <w:r>
              <w:rPr>
                <w:b/>
                <w:color w:val="1A2C5B"/>
                <w:sz w:val="19"/>
              </w:rPr>
              <w:t>Tipo</w:t>
            </w:r>
          </w:p>
        </w:tc>
        <w:tc>
          <w:tcPr>
            <w:tcW w:type="dxa" w:w="5102"/>
            <w:shd w:val="clear" w:color="auto" w:fill="FFFFFF"/>
          </w:tcPr>
          <w:p>
            <w:pPr>
              <w:jc w:val="right"/>
            </w:pPr>
            <w:r>
              <w:rPr>
                <w:color w:val="333333"/>
                <w:sz w:val="19"/>
              </w:rPr>
              <w:t>Privado, acreditado MPPE</w:t>
            </w:r>
          </w:p>
        </w:tc>
      </w:tr>
      <w:tr>
        <w:tc>
          <w:tcPr>
            <w:tcW w:type="dxa" w:w="3969"/>
            <w:shd w:val="clear" w:color="auto" w:fill="F0F4FA"/>
          </w:tcPr>
          <w:p>
            <w:pPr>
              <w:jc w:val="left"/>
            </w:pPr>
            <w:r>
              <w:rPr>
                <w:b/>
                <w:color w:val="1A2C5B"/>
                <w:sz w:val="19"/>
              </w:rPr>
              <w:t>Fundación</w:t>
            </w:r>
          </w:p>
        </w:tc>
        <w:tc>
          <w:tcPr>
            <w:tcW w:type="dxa" w:w="5102"/>
            <w:shd w:val="clear" w:color="auto" w:fill="F0F4FA"/>
          </w:tcPr>
          <w:p>
            <w:pPr>
              <w:jc w:val="right"/>
            </w:pPr>
            <w:r>
              <w:rPr>
                <w:color w:val="333333"/>
                <w:sz w:val="19"/>
              </w:rPr>
              <w:t>1978 (48 años)</w:t>
            </w:r>
          </w:p>
        </w:tc>
      </w:tr>
      <w:tr>
        <w:tc>
          <w:tcPr>
            <w:tcW w:type="dxa" w:w="3969"/>
            <w:shd w:val="clear" w:color="auto" w:fill="FFFFFF"/>
          </w:tcPr>
          <w:p>
            <w:pPr>
              <w:jc w:val="left"/>
            </w:pPr>
            <w:r>
              <w:rPr>
                <w:b/>
                <w:color w:val="1A2C5B"/>
                <w:sz w:val="19"/>
              </w:rPr>
              <w:t>Ubicación</w:t>
            </w:r>
          </w:p>
        </w:tc>
        <w:tc>
          <w:tcPr>
            <w:tcW w:type="dxa" w:w="5102"/>
            <w:shd w:val="clear" w:color="auto" w:fill="FFFFFF"/>
          </w:tcPr>
          <w:p>
            <w:pPr>
              <w:jc w:val="right"/>
            </w:pPr>
            <w:r>
              <w:rPr>
                <w:color w:val="333333"/>
                <w:sz w:val="19"/>
              </w:rPr>
              <w:t>El Tigre, Anzoátegui, Venezuela</w:t>
            </w:r>
          </w:p>
        </w:tc>
      </w:tr>
      <w:tr>
        <w:tc>
          <w:tcPr>
            <w:tcW w:type="dxa" w:w="3969"/>
            <w:shd w:val="clear" w:color="auto" w:fill="F0F4FA"/>
          </w:tcPr>
          <w:p>
            <w:pPr>
              <w:jc w:val="left"/>
            </w:pPr>
            <w:r>
              <w:rPr>
                <w:b/>
                <w:color w:val="1A2C5B"/>
                <w:sz w:val="19"/>
              </w:rPr>
              <w:t>Niveles Académicos</w:t>
            </w:r>
          </w:p>
        </w:tc>
        <w:tc>
          <w:tcPr>
            <w:tcW w:type="dxa" w:w="5102"/>
            <w:shd w:val="clear" w:color="auto" w:fill="F0F4FA"/>
          </w:tcPr>
          <w:p>
            <w:pPr>
              <w:jc w:val="right"/>
            </w:pPr>
            <w:r>
              <w:rPr>
                <w:color w:val="333333"/>
                <w:sz w:val="19"/>
              </w:rPr>
              <w:t>Maternal · Inicial I-III · Primaria · Bachillerato</w:t>
            </w:r>
          </w:p>
        </w:tc>
      </w:tr>
      <w:tr>
        <w:tc>
          <w:tcPr>
            <w:tcW w:type="dxa" w:w="3969"/>
            <w:shd w:val="clear" w:color="auto" w:fill="FFFFFF"/>
          </w:tcPr>
          <w:p>
            <w:pPr>
              <w:jc w:val="left"/>
            </w:pPr>
            <w:r>
              <w:rPr>
                <w:b/>
                <w:color w:val="1A2C5B"/>
                <w:sz w:val="19"/>
              </w:rPr>
              <w:t>Matrícula Actual</w:t>
            </w:r>
          </w:p>
        </w:tc>
        <w:tc>
          <w:tcPr>
            <w:tcW w:type="dxa" w:w="5102"/>
            <w:shd w:val="clear" w:color="auto" w:fill="FFFFFF"/>
          </w:tcPr>
          <w:p>
            <w:pPr>
              <w:jc w:val="right"/>
            </w:pPr>
            <w:r>
              <w:rPr>
                <w:color w:val="333333"/>
                <w:sz w:val="19"/>
              </w:rPr>
              <w:t>207 alumnos (línea base sep. 2025)</w:t>
            </w:r>
          </w:p>
        </w:tc>
      </w:tr>
      <w:tr>
        <w:tc>
          <w:tcPr>
            <w:tcW w:type="dxa" w:w="3969"/>
            <w:shd w:val="clear" w:color="auto" w:fill="F0F4FA"/>
          </w:tcPr>
          <w:p>
            <w:pPr>
              <w:jc w:val="left"/>
            </w:pPr>
            <w:r>
              <w:rPr>
                <w:b/>
                <w:color w:val="1A2C5B"/>
                <w:sz w:val="19"/>
              </w:rPr>
              <w:t>Personal Docente</w:t>
            </w:r>
          </w:p>
        </w:tc>
        <w:tc>
          <w:tcPr>
            <w:tcW w:type="dxa" w:w="5102"/>
            <w:shd w:val="clear" w:color="auto" w:fill="F0F4FA"/>
          </w:tcPr>
          <w:p>
            <w:pPr>
              <w:jc w:val="right"/>
            </w:pPr>
            <w:r>
              <w:rPr>
                <w:color w:val="333333"/>
                <w:sz w:val="19"/>
              </w:rPr>
              <w:t>31 (Inicial: 3 · Primaria: 7 · Bachillerato: 21)</w:t>
            </w:r>
          </w:p>
        </w:tc>
      </w:tr>
      <w:tr>
        <w:tc>
          <w:tcPr>
            <w:tcW w:type="dxa" w:w="3969"/>
            <w:shd w:val="clear" w:color="auto" w:fill="FFFFFF"/>
          </w:tcPr>
          <w:p>
            <w:pPr>
              <w:jc w:val="left"/>
            </w:pPr>
            <w:r>
              <w:rPr>
                <w:b/>
                <w:color w:val="1A2C5B"/>
                <w:sz w:val="19"/>
              </w:rPr>
              <w:t>Personal Administrativo</w:t>
            </w:r>
          </w:p>
        </w:tc>
        <w:tc>
          <w:tcPr>
            <w:tcW w:type="dxa" w:w="5102"/>
            <w:shd w:val="clear" w:color="auto" w:fill="FFFFFF"/>
          </w:tcPr>
          <w:p>
            <w:pPr>
              <w:jc w:val="right"/>
            </w:pPr>
            <w:r>
              <w:rPr>
                <w:color w:val="333333"/>
                <w:sz w:val="19"/>
              </w:rPr>
              <w:t>6 personas</w:t>
            </w:r>
          </w:p>
        </w:tc>
      </w:tr>
      <w:tr>
        <w:tc>
          <w:tcPr>
            <w:tcW w:type="dxa" w:w="3969"/>
            <w:shd w:val="clear" w:color="auto" w:fill="F0F4FA"/>
          </w:tcPr>
          <w:p>
            <w:pPr>
              <w:jc w:val="left"/>
            </w:pPr>
            <w:r>
              <w:rPr>
                <w:b/>
                <w:color w:val="1A2C5B"/>
                <w:sz w:val="19"/>
              </w:rPr>
              <w:t>Personal Obrero</w:t>
            </w:r>
          </w:p>
        </w:tc>
        <w:tc>
          <w:tcPr>
            <w:tcW w:type="dxa" w:w="5102"/>
            <w:shd w:val="clear" w:color="auto" w:fill="F0F4FA"/>
          </w:tcPr>
          <w:p>
            <w:pPr>
              <w:jc w:val="right"/>
            </w:pPr>
            <w:r>
              <w:rPr>
                <w:color w:val="333333"/>
                <w:sz w:val="19"/>
              </w:rPr>
              <w:t>7 personas</w:t>
            </w:r>
          </w:p>
        </w:tc>
      </w:tr>
      <w:tr>
        <w:tc>
          <w:tcPr>
            <w:tcW w:type="dxa" w:w="3969"/>
            <w:shd w:val="clear" w:color="auto" w:fill="FFFFFF"/>
          </w:tcPr>
          <w:p>
            <w:pPr>
              <w:jc w:val="left"/>
            </w:pPr>
            <w:r>
              <w:rPr>
                <w:b/>
                <w:color w:val="1A2C5B"/>
                <w:sz w:val="19"/>
              </w:rPr>
              <w:t>Personal Directivo</w:t>
            </w:r>
          </w:p>
        </w:tc>
        <w:tc>
          <w:tcPr>
            <w:tcW w:type="dxa" w:w="5102"/>
            <w:shd w:val="clear" w:color="auto" w:fill="FFFFFF"/>
          </w:tcPr>
          <w:p>
            <w:pPr>
              <w:jc w:val="right"/>
            </w:pPr>
            <w:r>
              <w:rPr>
                <w:color w:val="333333"/>
                <w:sz w:val="19"/>
              </w:rPr>
              <w:t>6 personas</w:t>
            </w:r>
          </w:p>
        </w:tc>
      </w:tr>
    </w:tbl>
    <w:p>
      <w:pPr>
        <w:spacing w:after="40"/>
      </w:pPr>
    </w:p>
    <w:p>
      <w:pPr>
        <w:spacing w:before="200" w:after="60"/>
        <w:pBdr>
          <w:bottom w:val="single" w:sz="6" w:space="1" w:color="1A2C5B"/>
        </w:pBdr>
      </w:pPr>
      <w:r>
        <w:rPr>
          <w:b/>
          <w:color w:val="1A2C5B"/>
          <w:sz w:val="22"/>
        </w:rPr>
        <w:t>2.2  ESTRUCTURA ACADÉMICA</w:t>
      </w:r>
    </w:p>
    <w:p>
      <w:pPr>
        <w:pStyle w:val="ListBullet"/>
        <w:spacing w:before="20" w:after="40"/>
        <w:ind w:left="432"/>
      </w:pPr>
      <w:r>
        <w:rPr>
          <w:color w:val="444444"/>
          <w:sz w:val="21"/>
        </w:rPr>
        <w:t>Educación Maternal — primera infancia (1-3 años); 39 alumnos</w:t>
      </w:r>
    </w:p>
    <w:p>
      <w:pPr>
        <w:pStyle w:val="ListBullet"/>
        <w:spacing w:before="20" w:after="40"/>
        <w:ind w:left="432"/>
      </w:pPr>
      <w:r>
        <w:rPr>
          <w:color w:val="444444"/>
          <w:sz w:val="21"/>
        </w:rPr>
        <w:t>Educación Inicial Niveles I y II — preescolar (3-5 años); 168 alumnos</w:t>
      </w:r>
    </w:p>
    <w:p>
      <w:pPr>
        <w:pStyle w:val="ListBullet"/>
        <w:spacing w:before="20" w:after="40"/>
        <w:ind w:left="432"/>
      </w:pPr>
      <w:r>
        <w:rPr>
          <w:color w:val="444444"/>
          <w:sz w:val="21"/>
        </w:rPr>
        <w:t>Educación Inicial Nivel III — transición (5-6 años); 93 alumnos</w:t>
      </w:r>
    </w:p>
    <w:p>
      <w:pPr>
        <w:pStyle w:val="ListBullet"/>
        <w:spacing w:before="20" w:after="40"/>
        <w:ind w:left="432"/>
      </w:pPr>
      <w:r>
        <w:rPr>
          <w:color w:val="444444"/>
          <w:sz w:val="21"/>
        </w:rPr>
        <w:t>Educación Primaria — 1.º a 6.º grado</w:t>
      </w:r>
    </w:p>
    <w:p>
      <w:pPr>
        <w:pStyle w:val="ListBullet"/>
        <w:spacing w:before="20" w:after="40"/>
        <w:ind w:left="432"/>
      </w:pPr>
      <w:r>
        <w:rPr>
          <w:color w:val="444444"/>
          <w:sz w:val="21"/>
        </w:rPr>
        <w:t>Educación Media General (Bachillerato) — 1.er a 5.to año</w:t>
      </w:r>
    </w:p>
    <w:p>
      <w:pPr>
        <w:spacing w:before="200" w:after="60"/>
        <w:pBdr>
          <w:bottom w:val="single" w:sz="6" w:space="1" w:color="1A2C5B"/>
        </w:pBdr>
      </w:pPr>
      <w:r>
        <w:rPr>
          <w:b/>
          <w:color w:val="1A2C5B"/>
          <w:sz w:val="22"/>
        </w:rPr>
        <w:t>2.3  VENTAJAS COMPETITIVAS</w:t>
      </w:r>
    </w:p>
    <w:p>
      <w:pPr>
        <w:pStyle w:val="ListBullet"/>
        <w:spacing w:before="20" w:after="40"/>
        <w:ind w:left="432"/>
      </w:pPr>
      <w:r>
        <w:rPr>
          <w:color w:val="444444"/>
          <w:sz w:val="21"/>
        </w:rPr>
        <w:t>48 años de equidad de marca — lealtad familiar multigeneracional en la comunidad</w:t>
      </w:r>
    </w:p>
    <w:p>
      <w:pPr>
        <w:pStyle w:val="ListBullet"/>
        <w:spacing w:before="20" w:after="40"/>
        <w:ind w:left="432"/>
      </w:pPr>
      <w:r>
        <w:rPr>
          <w:color w:val="444444"/>
          <w:sz w:val="21"/>
        </w:rPr>
        <w:t>Acreditación MPPE en todos los niveles — barrera regulatoria ante nuevos competidores</w:t>
      </w:r>
    </w:p>
    <w:p>
      <w:pPr>
        <w:pStyle w:val="ListBullet"/>
        <w:spacing w:before="20" w:after="40"/>
        <w:ind w:left="432"/>
      </w:pPr>
      <w:r>
        <w:rPr>
          <w:color w:val="444444"/>
          <w:sz w:val="21"/>
        </w:rPr>
        <w:t>Flujo de matrícula consolidado — continuidad Maternal → Bachillerato</w:t>
      </w:r>
    </w:p>
    <w:p>
      <w:pPr>
        <w:pStyle w:val="ListBullet"/>
        <w:spacing w:before="20" w:after="40"/>
        <w:ind w:left="432"/>
      </w:pPr>
      <w:r>
        <w:rPr>
          <w:color w:val="444444"/>
          <w:sz w:val="21"/>
        </w:rPr>
        <w:t>Cuerpo docente experimentado — antigüedad promedio superior a 4 años</w:t>
      </w:r>
    </w:p>
    <w:p>
      <w:pPr>
        <w:pStyle w:val="ListBullet"/>
        <w:spacing w:before="20" w:after="40"/>
        <w:ind w:left="432"/>
      </w:pPr>
      <w:r>
        <w:rPr>
          <w:color w:val="444444"/>
          <w:sz w:val="21"/>
        </w:rPr>
        <w:t>Infraestructura digital: ERP Odoo (RRHH, nómina, facturación, comunicaciones)</w:t>
      </w:r>
    </w:p>
    <w:p>
      <w:pPr>
        <w:pStyle w:val="ListBullet"/>
        <w:spacing w:before="20" w:after="40"/>
        <w:ind w:left="432"/>
      </w:pPr>
      <w:r>
        <w:rPr>
          <w:color w:val="444444"/>
          <w:sz w:val="21"/>
        </w:rPr>
        <w:t>Agente de atención WhatsApp con IA ("Glenda") — reduce carga administrativa 24/7</w:t>
      </w:r>
    </w:p>
    <w:p>
      <w:pPr>
        <w:pStyle w:val="ListBullet"/>
        <w:spacing w:before="20" w:after="40"/>
        <w:ind w:left="432"/>
      </w:pPr>
      <w:r>
        <w:rPr>
          <w:color w:val="444444"/>
          <w:sz w:val="21"/>
        </w:rPr>
        <w:t>Relaciones institucionales con CAVEC, MPPE y redes empresariales regionales (PDVSA)</w:t>
      </w:r>
    </w:p>
    <w:p>
      <w:r>
        <w:br w:type="page"/>
      </w:r>
    </w:p>
    <w:tbl>
      <w:tblPr>
        <w:tblW w:type="auto" w:w="0"/>
        <w:jc w:val="center"/>
        <w:tblLook w:firstColumn="1" w:firstRow="1" w:lastColumn="0" w:lastRow="0" w:noHBand="0" w:noVBand="1" w:val="04A0"/>
      </w:tblPr>
      <w:tblGrid>
        <w:gridCol w:w="9066"/>
      </w:tblGrid>
      <w:tr>
        <w:tc>
          <w:tcPr>
            <w:tcW w:type="dxa" w:w="9066"/>
            <w:shd w:val="clear" w:color="auto" w:fill="1A2C5B"/>
            <w:tcMar>
              <w:top w:w="100" w:type="dxa"/>
              <w:bottom w:w="100" w:type="dxa"/>
              <w:left w:w="100" w:type="dxa"/>
              <w:right w:w="100" w:type="dxa"/>
            </w:tcMar>
          </w:tcPr>
          <w:p>
            <w:pPr>
              <w:spacing w:before="40" w:after="40"/>
              <w:jc w:val="center"/>
            </w:pPr>
            <w:r>
              <w:rPr>
                <w:b/>
                <w:color w:val="FFFFFF"/>
                <w:sz w:val="30"/>
              </w:rPr>
              <w:t>3 · PANORAMA FINANCIERO</w:t>
            </w:r>
          </w:p>
        </w:tc>
      </w:tr>
    </w:tbl>
    <w:p>
      <w:pPr>
        <w:spacing w:after="40"/>
      </w:pPr>
    </w:p>
    <w:p>
      <w:pPr>
        <w:spacing w:before="200" w:after="60"/>
        <w:pBdr>
          <w:bottom w:val="single" w:sz="6" w:space="1" w:color="1A2C5B"/>
        </w:pBdr>
      </w:pPr>
      <w:r>
        <w:rPr>
          <w:b/>
          <w:color w:val="1A2C5B"/>
          <w:sz w:val="22"/>
        </w:rPr>
        <w:t>3.1  MODELO DE INGRESOS</w:t>
      </w:r>
    </w:p>
    <w:p>
      <w:pPr>
        <w:spacing w:before="40" w:after="80"/>
      </w:pPr>
      <w:r>
        <w:rPr>
          <w:b w:val="0"/>
          <w:i w:val="0"/>
          <w:color w:val="444444"/>
          <w:sz w:val="21"/>
        </w:rPr>
        <w:t>Los ingresos se derivan principalmente de la mensualidad, la inscripción anual y los cobros anuales complementarios (materiales educativos, deportes, seguro escolar, etc.). Las tarifas están denominadas en USD y recaudadas en bolívares a la tasa BCV vigente, lo que proporciona una cobertura natural frente a la inflación.</w:t>
      </w:r>
    </w:p>
    <w:tbl>
      <w:tblPr>
        <w:tblStyle w:val="TableGrid"/>
        <w:tblW w:type="auto" w:w="0"/>
        <w:tblLook w:firstColumn="1" w:firstRow="1" w:lastColumn="0" w:lastRow="0" w:noHBand="0" w:noVBand="1" w:val="04A0"/>
      </w:tblPr>
      <w:tblGrid>
        <w:gridCol w:w="3022"/>
        <w:gridCol w:w="3022"/>
        <w:gridCol w:w="3022"/>
      </w:tblGrid>
      <w:tr>
        <w:tc>
          <w:tcPr>
            <w:tcW w:type="dxa" w:w="3969"/>
            <w:shd w:val="clear" w:color="auto" w:fill="1A2C5B"/>
          </w:tcPr>
          <w:p>
            <w:pPr>
              <w:jc w:val="center"/>
            </w:pPr>
            <w:r>
              <w:rPr>
                <w:b/>
                <w:color w:val="FFFFFF"/>
                <w:sz w:val="19"/>
              </w:rPr>
              <w:t>Concepto</w:t>
            </w:r>
          </w:p>
        </w:tc>
        <w:tc>
          <w:tcPr>
            <w:tcW w:type="dxa" w:w="2268"/>
            <w:shd w:val="clear" w:color="auto" w:fill="1A2C5B"/>
          </w:tcPr>
          <w:p>
            <w:pPr>
              <w:jc w:val="center"/>
            </w:pPr>
            <w:r>
              <w:rPr>
                <w:b/>
                <w:color w:val="FFFFFF"/>
                <w:sz w:val="19"/>
              </w:rPr>
              <w:t>Tarifa (USD)</w:t>
            </w:r>
          </w:p>
        </w:tc>
        <w:tc>
          <w:tcPr>
            <w:tcW w:type="dxa" w:w="3402"/>
            <w:shd w:val="clear" w:color="auto" w:fill="1A2C5B"/>
          </w:tcPr>
          <w:p>
            <w:pPr>
              <w:jc w:val="center"/>
            </w:pPr>
            <w:r>
              <w:rPr>
                <w:b/>
                <w:color w:val="FFFFFF"/>
                <w:sz w:val="19"/>
              </w:rPr>
              <w:t>Observaciones</w:t>
            </w:r>
          </w:p>
        </w:tc>
      </w:tr>
      <w:tr>
        <w:tc>
          <w:tcPr>
            <w:tcW w:type="dxa" w:w="3969"/>
            <w:shd w:val="clear" w:color="auto" w:fill="F0F4FA"/>
          </w:tcPr>
          <w:p>
            <w:pPr>
              <w:jc w:val="left"/>
            </w:pPr>
            <w:r>
              <w:rPr>
                <w:b/>
                <w:color w:val="1A2C5B"/>
                <w:sz w:val="19"/>
              </w:rPr>
              <w:t>Mensualidad — tarifa regular</w:t>
            </w:r>
          </w:p>
        </w:tc>
        <w:tc>
          <w:tcPr>
            <w:tcW w:type="dxa" w:w="2268"/>
            <w:shd w:val="clear" w:color="auto" w:fill="F0F4FA"/>
          </w:tcPr>
          <w:p>
            <w:pPr>
              <w:jc w:val="right"/>
            </w:pPr>
            <w:r>
              <w:rPr>
                <w:color w:val="333333"/>
                <w:sz w:val="19"/>
              </w:rPr>
              <w:t>$218.88</w:t>
            </w:r>
          </w:p>
        </w:tc>
        <w:tc>
          <w:tcPr>
            <w:tcW w:type="dxa" w:w="3402"/>
            <w:shd w:val="clear" w:color="auto" w:fill="F0F4FA"/>
          </w:tcPr>
          <w:p>
            <w:pPr>
              <w:jc w:val="right"/>
            </w:pPr>
            <w:r>
              <w:rPr>
                <w:color w:val="333333"/>
                <w:sz w:val="19"/>
              </w:rPr>
              <w:t>Vigente desde el 1 sep. 2026</w:t>
            </w:r>
          </w:p>
        </w:tc>
      </w:tr>
      <w:tr>
        <w:tc>
          <w:tcPr>
            <w:tcW w:type="dxa" w:w="3969"/>
            <w:shd w:val="clear" w:color="auto" w:fill="FFFFFF"/>
          </w:tcPr>
          <w:p>
            <w:pPr>
              <w:jc w:val="left"/>
            </w:pPr>
            <w:r>
              <w:rPr>
                <w:b/>
                <w:color w:val="1A2C5B"/>
                <w:sz w:val="19"/>
              </w:rPr>
              <w:t>Mensualidad — pronto pago</w:t>
            </w:r>
          </w:p>
        </w:tc>
        <w:tc>
          <w:tcPr>
            <w:tcW w:type="dxa" w:w="2268"/>
            <w:shd w:val="clear" w:color="auto" w:fill="FFFFFF"/>
          </w:tcPr>
          <w:p>
            <w:pPr>
              <w:jc w:val="right"/>
            </w:pPr>
            <w:r>
              <w:rPr>
                <w:color w:val="333333"/>
                <w:sz w:val="19"/>
              </w:rPr>
              <w:t>$207.93</w:t>
            </w:r>
          </w:p>
        </w:tc>
        <w:tc>
          <w:tcPr>
            <w:tcW w:type="dxa" w:w="3402"/>
            <w:shd w:val="clear" w:color="auto" w:fill="FFFFFF"/>
          </w:tcPr>
          <w:p>
            <w:pPr>
              <w:jc w:val="right"/>
            </w:pPr>
            <w:r>
              <w:rPr>
                <w:color w:val="333333"/>
                <w:sz w:val="19"/>
              </w:rPr>
              <w:t>5% descuento, primeros 5 días del mes</w:t>
            </w:r>
          </w:p>
        </w:tc>
      </w:tr>
      <w:tr>
        <w:tc>
          <w:tcPr>
            <w:tcW w:type="dxa" w:w="3969"/>
            <w:shd w:val="clear" w:color="auto" w:fill="F0F4FA"/>
          </w:tcPr>
          <w:p>
            <w:pPr>
              <w:jc w:val="left"/>
            </w:pPr>
            <w:r>
              <w:rPr>
                <w:b/>
                <w:color w:val="1A2C5B"/>
                <w:sz w:val="19"/>
              </w:rPr>
              <w:t>Inscripción anual 2026-2027</w:t>
            </w:r>
          </w:p>
        </w:tc>
        <w:tc>
          <w:tcPr>
            <w:tcW w:type="dxa" w:w="2268"/>
            <w:shd w:val="clear" w:color="auto" w:fill="F0F4FA"/>
          </w:tcPr>
          <w:p>
            <w:pPr>
              <w:jc w:val="right"/>
            </w:pPr>
            <w:r>
              <w:rPr>
                <w:color w:val="333333"/>
                <w:sz w:val="19"/>
              </w:rPr>
              <w:t>$187.51</w:t>
            </w:r>
          </w:p>
        </w:tc>
        <w:tc>
          <w:tcPr>
            <w:tcW w:type="dxa" w:w="3402"/>
            <w:shd w:val="clear" w:color="auto" w:fill="F0F4FA"/>
          </w:tcPr>
          <w:p>
            <w:pPr>
              <w:jc w:val="right"/>
            </w:pPr>
            <w:r>
              <w:rPr>
                <w:color w:val="333333"/>
                <w:sz w:val="19"/>
              </w:rPr>
              <w:t>Por alumno, una vez al año escolar</w:t>
            </w:r>
          </w:p>
        </w:tc>
      </w:tr>
      <w:tr>
        <w:tc>
          <w:tcPr>
            <w:tcW w:type="dxa" w:w="3969"/>
            <w:shd w:val="clear" w:color="auto" w:fill="FFFFFF"/>
          </w:tcPr>
          <w:p>
            <w:pPr>
              <w:jc w:val="left"/>
            </w:pPr>
            <w:r>
              <w:rPr>
                <w:b/>
                <w:color w:val="1A2C5B"/>
                <w:sz w:val="19"/>
              </w:rPr>
              <w:t>Costos anuales (estándar)</w:t>
            </w:r>
          </w:p>
        </w:tc>
        <w:tc>
          <w:tcPr>
            <w:tcW w:type="dxa" w:w="2268"/>
            <w:shd w:val="clear" w:color="auto" w:fill="FFFFFF"/>
          </w:tcPr>
          <w:p>
            <w:pPr>
              <w:jc w:val="right"/>
            </w:pPr>
            <w:r>
              <w:rPr>
                <w:color w:val="333333"/>
                <w:sz w:val="19"/>
              </w:rPr>
              <w:t>$55.00</w:t>
            </w:r>
          </w:p>
        </w:tc>
        <w:tc>
          <w:tcPr>
            <w:tcW w:type="dxa" w:w="3402"/>
            <w:shd w:val="clear" w:color="auto" w:fill="FFFFFF"/>
          </w:tcPr>
          <w:p>
            <w:pPr>
              <w:jc w:val="right"/>
            </w:pPr>
            <w:r>
              <w:rPr>
                <w:color w:val="333333"/>
                <w:sz w:val="19"/>
              </w:rPr>
              <w:t>Seguro $15 + Inglés $30 + Olimpiadas $10</w:t>
            </w:r>
          </w:p>
        </w:tc>
      </w:tr>
      <w:tr>
        <w:tc>
          <w:tcPr>
            <w:tcW w:type="dxa" w:w="3969"/>
            <w:shd w:val="clear" w:color="auto" w:fill="F0F4FA"/>
          </w:tcPr>
          <w:p>
            <w:pPr>
              <w:jc w:val="left"/>
            </w:pPr>
            <w:r>
              <w:rPr>
                <w:b/>
                <w:color w:val="1A2C5B"/>
                <w:sz w:val="19"/>
              </w:rPr>
              <w:t>Costos anuales (bachillerato)</w:t>
            </w:r>
          </w:p>
        </w:tc>
        <w:tc>
          <w:tcPr>
            <w:tcW w:type="dxa" w:w="2268"/>
            <w:shd w:val="clear" w:color="auto" w:fill="F0F4FA"/>
          </w:tcPr>
          <w:p>
            <w:pPr>
              <w:jc w:val="right"/>
            </w:pPr>
            <w:r>
              <w:rPr>
                <w:color w:val="333333"/>
                <w:sz w:val="19"/>
              </w:rPr>
              <w:t>$91.00</w:t>
            </w:r>
          </w:p>
        </w:tc>
        <w:tc>
          <w:tcPr>
            <w:tcW w:type="dxa" w:w="3402"/>
            <w:shd w:val="clear" w:color="auto" w:fill="F0F4FA"/>
          </w:tcPr>
          <w:p>
            <w:pPr>
              <w:jc w:val="right"/>
            </w:pPr>
            <w:r>
              <w:rPr>
                <w:color w:val="333333"/>
                <w:sz w:val="19"/>
              </w:rPr>
              <w:t>Estándar + $36 bachillerato</w:t>
            </w:r>
          </w:p>
        </w:tc>
      </w:tr>
      <w:tr>
        <w:tc>
          <w:tcPr>
            <w:tcW w:type="dxa" w:w="3969"/>
            <w:shd w:val="clear" w:color="auto" w:fill="FFFFFF"/>
          </w:tcPr>
          <w:p>
            <w:pPr>
              <w:jc w:val="left"/>
            </w:pPr>
            <w:r>
              <w:rPr>
                <w:b/>
                <w:color w:val="1A2C5B"/>
                <w:sz w:val="19"/>
              </w:rPr>
              <w:t>Programa Alimentario</w:t>
            </w:r>
          </w:p>
        </w:tc>
        <w:tc>
          <w:tcPr>
            <w:tcW w:type="dxa" w:w="2268"/>
            <w:shd w:val="clear" w:color="auto" w:fill="FFFFFF"/>
          </w:tcPr>
          <w:p>
            <w:pPr>
              <w:jc w:val="right"/>
            </w:pPr>
            <w:r>
              <w:rPr>
                <w:color w:val="333333"/>
                <w:sz w:val="19"/>
              </w:rPr>
              <w:t>$40.00/empl/mes</w:t>
            </w:r>
          </w:p>
        </w:tc>
        <w:tc>
          <w:tcPr>
            <w:tcW w:type="dxa" w:w="3402"/>
            <w:shd w:val="clear" w:color="auto" w:fill="FFFFFF"/>
          </w:tcPr>
          <w:p>
            <w:pPr>
              <w:jc w:val="right"/>
            </w:pPr>
            <w:r>
              <w:rPr>
                <w:color w:val="333333"/>
                <w:sz w:val="19"/>
              </w:rPr>
              <w:t>Pase a través de empleados</w:t>
            </w:r>
          </w:p>
        </w:tc>
      </w:tr>
    </w:tbl>
    <w:p>
      <w:pPr>
        <w:spacing w:after="40"/>
      </w:pPr>
    </w:p>
    <w:p>
      <w:pPr>
        <w:spacing w:before="200" w:after="60"/>
        <w:pBdr>
          <w:bottom w:val="single" w:sz="6" w:space="1" w:color="1A2C5B"/>
        </w:pBdr>
      </w:pPr>
      <w:r>
        <w:rPr>
          <w:b/>
          <w:color w:val="1A2C5B"/>
          <w:sz w:val="22"/>
        </w:rPr>
        <w:t>3.2  PROYECCIÓN DE INGRESOS (ANUALES)</w:t>
      </w:r>
    </w:p>
    <w:p>
      <w:pPr>
        <w:spacing w:before="40" w:after="80"/>
      </w:pPr>
      <w:r>
        <w:rPr>
          <w:b w:val="0"/>
          <w:i w:val="0"/>
          <w:color w:val="444444"/>
          <w:sz w:val="21"/>
        </w:rPr>
        <w:t>Basada en 207 alumnos, tarifas aprobadas, 10 meses de calendario académico + inscripción:</w:t>
      </w:r>
    </w:p>
    <w:tbl>
      <w:tblPr>
        <w:tblStyle w:val="TableGrid"/>
        <w:tblW w:type="auto" w:w="0"/>
        <w:tblLook w:firstColumn="1" w:firstRow="1" w:lastColumn="0" w:lastRow="0" w:noHBand="0" w:noVBand="1" w:val="04A0"/>
      </w:tblPr>
      <w:tblGrid>
        <w:gridCol w:w="3022"/>
        <w:gridCol w:w="3022"/>
        <w:gridCol w:w="3022"/>
      </w:tblGrid>
      <w:tr>
        <w:tc>
          <w:tcPr>
            <w:tcW w:type="dxa" w:w="3402"/>
            <w:shd w:val="clear" w:color="auto" w:fill="1A2C5B"/>
          </w:tcPr>
          <w:p>
            <w:pPr>
              <w:jc w:val="center"/>
            </w:pPr>
            <w:r>
              <w:rPr>
                <w:b/>
                <w:color w:val="FFFFFF"/>
                <w:sz w:val="19"/>
              </w:rPr>
              <w:t>Concepto</w:t>
            </w:r>
          </w:p>
        </w:tc>
        <w:tc>
          <w:tcPr>
            <w:tcW w:type="dxa" w:w="3402"/>
            <w:shd w:val="clear" w:color="auto" w:fill="1A2C5B"/>
          </w:tcPr>
          <w:p>
            <w:pPr>
              <w:jc w:val="center"/>
            </w:pPr>
            <w:r>
              <w:rPr>
                <w:b/>
                <w:color w:val="FFFFFF"/>
                <w:sz w:val="19"/>
              </w:rPr>
              <w:t>Cálculo</w:t>
            </w:r>
          </w:p>
        </w:tc>
        <w:tc>
          <w:tcPr>
            <w:tcW w:type="dxa" w:w="2835"/>
            <w:shd w:val="clear" w:color="auto" w:fill="1A2C5B"/>
          </w:tcPr>
          <w:p>
            <w:pPr>
              <w:jc w:val="center"/>
            </w:pPr>
            <w:r>
              <w:rPr>
                <w:b/>
                <w:color w:val="FFFFFF"/>
                <w:sz w:val="19"/>
              </w:rPr>
              <w:t>USD Anual</w:t>
            </w:r>
          </w:p>
        </w:tc>
      </w:tr>
      <w:tr>
        <w:tc>
          <w:tcPr>
            <w:tcW w:type="dxa" w:w="3402"/>
            <w:shd w:val="clear" w:color="auto" w:fill="F0F4FA"/>
          </w:tcPr>
          <w:p>
            <w:pPr>
              <w:jc w:val="left"/>
            </w:pPr>
            <w:r>
              <w:rPr>
                <w:b/>
                <w:color w:val="1A2C5B"/>
                <w:sz w:val="19"/>
              </w:rPr>
              <w:t>Mensualidades (10 meses)</w:t>
            </w:r>
          </w:p>
        </w:tc>
        <w:tc>
          <w:tcPr>
            <w:tcW w:type="dxa" w:w="3402"/>
            <w:shd w:val="clear" w:color="auto" w:fill="F0F4FA"/>
          </w:tcPr>
          <w:p>
            <w:pPr>
              <w:jc w:val="right"/>
            </w:pPr>
            <w:r>
              <w:rPr>
                <w:color w:val="333333"/>
                <w:sz w:val="19"/>
              </w:rPr>
              <w:t>207 × $218.88 × 10</w:t>
            </w:r>
          </w:p>
        </w:tc>
        <w:tc>
          <w:tcPr>
            <w:tcW w:type="dxa" w:w="2835"/>
            <w:shd w:val="clear" w:color="auto" w:fill="F0F4FA"/>
          </w:tcPr>
          <w:p>
            <w:pPr>
              <w:jc w:val="right"/>
            </w:pPr>
            <w:r>
              <w:rPr>
                <w:color w:val="333333"/>
                <w:sz w:val="19"/>
              </w:rPr>
              <w:t>$453,082</w:t>
            </w:r>
          </w:p>
        </w:tc>
      </w:tr>
      <w:tr>
        <w:tc>
          <w:tcPr>
            <w:tcW w:type="dxa" w:w="3402"/>
            <w:shd w:val="clear" w:color="auto" w:fill="FFFFFF"/>
          </w:tcPr>
          <w:p>
            <w:pPr>
              <w:jc w:val="left"/>
            </w:pPr>
            <w:r>
              <w:rPr>
                <w:b/>
                <w:color w:val="1A2C5B"/>
                <w:sz w:val="19"/>
              </w:rPr>
              <w:t>Inscripciones anuales</w:t>
            </w:r>
          </w:p>
        </w:tc>
        <w:tc>
          <w:tcPr>
            <w:tcW w:type="dxa" w:w="3402"/>
            <w:shd w:val="clear" w:color="auto" w:fill="FFFFFF"/>
          </w:tcPr>
          <w:p>
            <w:pPr>
              <w:jc w:val="right"/>
            </w:pPr>
            <w:r>
              <w:rPr>
                <w:color w:val="333333"/>
                <w:sz w:val="19"/>
              </w:rPr>
              <w:t>207 × $187.51</w:t>
            </w:r>
          </w:p>
        </w:tc>
        <w:tc>
          <w:tcPr>
            <w:tcW w:type="dxa" w:w="2835"/>
            <w:shd w:val="clear" w:color="auto" w:fill="FFFFFF"/>
          </w:tcPr>
          <w:p>
            <w:pPr>
              <w:jc w:val="right"/>
            </w:pPr>
            <w:r>
              <w:rPr>
                <w:color w:val="333333"/>
                <w:sz w:val="19"/>
              </w:rPr>
              <w:t>$38,815</w:t>
            </w:r>
          </w:p>
        </w:tc>
      </w:tr>
      <w:tr>
        <w:tc>
          <w:tcPr>
            <w:tcW w:type="dxa" w:w="3402"/>
            <w:shd w:val="clear" w:color="auto" w:fill="F0F4FA"/>
          </w:tcPr>
          <w:p>
            <w:pPr>
              <w:jc w:val="left"/>
            </w:pPr>
            <w:r>
              <w:rPr>
                <w:b/>
                <w:color w:val="1A2C5B"/>
                <w:sz w:val="19"/>
              </w:rPr>
              <w:t>Costos estudiantiles (prom.</w:t>
            </w:r>
          </w:p>
        </w:tc>
        <w:tc>
          <w:tcPr>
            <w:tcW w:type="dxa" w:w="3402"/>
            <w:shd w:val="clear" w:color="auto" w:fill="F0F4FA"/>
          </w:tcPr>
          <w:p>
            <w:pPr>
              <w:jc w:val="right"/>
            </w:pPr>
            <w:r>
              <w:rPr>
                <w:color w:val="333333"/>
                <w:sz w:val="19"/>
              </w:rPr>
              <w:t>207 × $65 promedio est.</w:t>
            </w:r>
          </w:p>
        </w:tc>
        <w:tc>
          <w:tcPr>
            <w:tcW w:type="dxa" w:w="2835"/>
            <w:shd w:val="clear" w:color="auto" w:fill="F0F4FA"/>
          </w:tcPr>
          <w:p>
            <w:pPr>
              <w:jc w:val="right"/>
            </w:pPr>
            <w:r>
              <w:rPr>
                <w:color w:val="333333"/>
                <w:sz w:val="19"/>
              </w:rPr>
              <w:t>$13,455</w:t>
            </w:r>
          </w:p>
        </w:tc>
      </w:tr>
      <w:tr>
        <w:tc>
          <w:tcPr>
            <w:tcW w:type="dxa" w:w="3402"/>
            <w:shd w:val="clear" w:color="auto" w:fill="FFFFFF"/>
          </w:tcPr>
          <w:p>
            <w:pPr>
              <w:jc w:val="left"/>
            </w:pPr>
            <w:r>
              <w:rPr>
                <w:b/>
                <w:color w:val="1A2C5B"/>
                <w:sz w:val="19"/>
              </w:rPr>
              <w:t>Otros ingresos / servicios</w:t>
            </w:r>
          </w:p>
        </w:tc>
        <w:tc>
          <w:tcPr>
            <w:tcW w:type="dxa" w:w="3402"/>
            <w:shd w:val="clear" w:color="auto" w:fill="FFFFFF"/>
          </w:tcPr>
          <w:p>
            <w:pPr>
              <w:jc w:val="right"/>
            </w:pPr>
            <w:r>
              <w:rPr>
                <w:color w:val="333333"/>
                <w:sz w:val="19"/>
              </w:rPr>
              <w:t>Estimado</w:t>
            </w:r>
          </w:p>
        </w:tc>
        <w:tc>
          <w:tcPr>
            <w:tcW w:type="dxa" w:w="2835"/>
            <w:shd w:val="clear" w:color="auto" w:fill="FFFFFF"/>
          </w:tcPr>
          <w:p>
            <w:pPr>
              <w:jc w:val="right"/>
            </w:pPr>
            <w:r>
              <w:rPr>
                <w:color w:val="333333"/>
                <w:sz w:val="19"/>
              </w:rPr>
              <w:t>$5,000</w:t>
            </w:r>
          </w:p>
        </w:tc>
      </w:tr>
      <w:tr>
        <w:tc>
          <w:tcPr>
            <w:tcW w:type="dxa" w:w="3402"/>
            <w:shd w:val="clear" w:color="auto" w:fill="F0F4FA"/>
          </w:tcPr>
          <w:p>
            <w:pPr>
              <w:jc w:val="left"/>
            </w:pPr>
            <w:r>
              <w:rPr>
                <w:b/>
                <w:color w:val="1A2C5B"/>
                <w:sz w:val="19"/>
              </w:rPr>
              <w:t>TOTAL INGRESOS BRUTOS</w:t>
            </w:r>
          </w:p>
        </w:tc>
        <w:tc>
          <w:tcPr>
            <w:tcW w:type="dxa" w:w="3402"/>
            <w:shd w:val="clear" w:color="auto" w:fill="F0F4FA"/>
          </w:tcPr>
          <w:p>
            <w:pPr>
              <w:jc w:val="right"/>
            </w:pPr>
            <w:r>
              <w:rPr>
                <w:color w:val="333333"/>
                <w:sz w:val="19"/>
              </w:rPr>
            </w:r>
          </w:p>
        </w:tc>
        <w:tc>
          <w:tcPr>
            <w:tcW w:type="dxa" w:w="2835"/>
            <w:shd w:val="clear" w:color="auto" w:fill="F0F4FA"/>
          </w:tcPr>
          <w:p>
            <w:pPr>
              <w:jc w:val="right"/>
            </w:pPr>
            <w:r>
              <w:rPr>
                <w:color w:val="333333"/>
                <w:sz w:val="19"/>
              </w:rPr>
              <w:t>≈ $510,352</w:t>
            </w:r>
          </w:p>
        </w:tc>
      </w:tr>
    </w:tbl>
    <w:p>
      <w:pPr>
        <w:spacing w:after="40"/>
      </w:pPr>
    </w:p>
    <w:p>
      <w:pPr>
        <w:spacing w:before="40" w:after="80"/>
      </w:pPr>
      <w:r>
        <w:rPr>
          <w:b w:val="0"/>
          <w:i/>
          <w:color w:val="444444"/>
          <w:sz w:val="21"/>
        </w:rPr>
        <w:t>Nota: Aplicando eficiencia de cobranza del 90% → Ingreso cobrable neto ≈ USD 459,317/año.</w:t>
      </w:r>
    </w:p>
    <w:p>
      <w:pPr>
        <w:spacing w:before="200" w:after="60"/>
        <w:pBdr>
          <w:bottom w:val="single" w:sz="6" w:space="1" w:color="1A2C5B"/>
        </w:pBdr>
      </w:pPr>
      <w:r>
        <w:rPr>
          <w:b/>
          <w:color w:val="1A2C5B"/>
          <w:sz w:val="22"/>
        </w:rPr>
        <w:t>3.3  ESTRUCTURA DE COSTOS OPERATIVOS</w:t>
      </w:r>
    </w:p>
    <w:tbl>
      <w:tblPr>
        <w:tblStyle w:val="TableGrid"/>
        <w:tblW w:type="auto" w:w="0"/>
        <w:tblLook w:firstColumn="1" w:firstRow="1" w:lastColumn="0" w:lastRow="0" w:noHBand="0" w:noVBand="1" w:val="04A0"/>
      </w:tblPr>
      <w:tblGrid>
        <w:gridCol w:w="2266"/>
        <w:gridCol w:w="2266"/>
        <w:gridCol w:w="2266"/>
        <w:gridCol w:w="2266"/>
      </w:tblGrid>
      <w:tr>
        <w:tc>
          <w:tcPr>
            <w:tcW w:type="dxa" w:w="3969"/>
            <w:shd w:val="clear" w:color="auto" w:fill="1A2C5B"/>
          </w:tcPr>
          <w:p>
            <w:pPr>
              <w:jc w:val="center"/>
            </w:pPr>
            <w:r>
              <w:rPr>
                <w:b/>
                <w:color w:val="FFFFFF"/>
                <w:sz w:val="19"/>
              </w:rPr>
              <w:t>Categoría de Costo</w:t>
            </w:r>
          </w:p>
        </w:tc>
        <w:tc>
          <w:tcPr>
            <w:tcW w:type="dxa" w:w="2268"/>
            <w:shd w:val="clear" w:color="auto" w:fill="1A2C5B"/>
          </w:tcPr>
          <w:p>
            <w:pPr>
              <w:jc w:val="center"/>
            </w:pPr>
            <w:r>
              <w:rPr>
                <w:b/>
                <w:color w:val="FFFFFF"/>
                <w:sz w:val="19"/>
              </w:rPr>
              <w:t>USD Anual</w:t>
            </w:r>
          </w:p>
        </w:tc>
        <w:tc>
          <w:tcPr>
            <w:tcW w:type="dxa" w:w="2268"/>
            <w:shd w:val="clear" w:color="auto" w:fill="1A2C5B"/>
          </w:tcPr>
          <w:p>
            <w:pPr>
              <w:jc w:val="center"/>
            </w:pPr>
            <w:r>
              <w:rPr>
                <w:b/>
                <w:color w:val="FFFFFF"/>
                <w:sz w:val="19"/>
              </w:rPr>
              <w:t>USD Mensual</w:t>
            </w:r>
          </w:p>
        </w:tc>
        <w:tc>
          <w:tcPr>
            <w:tcW w:type="dxa" w:w="2268"/>
            <w:shd w:val="clear" w:color="auto" w:fill="1A2C5B"/>
          </w:tcPr>
          <w:p>
            <w:pPr>
              <w:jc w:val="center"/>
            </w:pPr>
            <w:r>
              <w:rPr>
                <w:b/>
                <w:color w:val="FFFFFF"/>
                <w:sz w:val="19"/>
              </w:rPr>
              <w:t>% sobre Ingresos</w:t>
            </w:r>
          </w:p>
        </w:tc>
      </w:tr>
      <w:tr>
        <w:tc>
          <w:tcPr>
            <w:tcW w:type="dxa" w:w="3969"/>
            <w:shd w:val="clear" w:color="auto" w:fill="F0F4FA"/>
          </w:tcPr>
          <w:p>
            <w:pPr>
              <w:jc w:val="left"/>
            </w:pPr>
            <w:r>
              <w:rPr>
                <w:b/>
                <w:color w:val="1A2C5B"/>
                <w:sz w:val="19"/>
              </w:rPr>
              <w:t>Nómina total (43 empleados actuales)</w:t>
            </w:r>
          </w:p>
        </w:tc>
        <w:tc>
          <w:tcPr>
            <w:tcW w:type="dxa" w:w="2268"/>
            <w:shd w:val="clear" w:color="auto" w:fill="F0F4FA"/>
          </w:tcPr>
          <w:p>
            <w:pPr>
              <w:jc w:val="right"/>
            </w:pPr>
            <w:r>
              <w:rPr>
                <w:color w:val="333333"/>
                <w:sz w:val="19"/>
              </w:rPr>
              <w:t>$180,159</w:t>
            </w:r>
          </w:p>
        </w:tc>
        <w:tc>
          <w:tcPr>
            <w:tcW w:type="dxa" w:w="2268"/>
            <w:shd w:val="clear" w:color="auto" w:fill="F0F4FA"/>
          </w:tcPr>
          <w:p>
            <w:pPr>
              <w:jc w:val="right"/>
            </w:pPr>
            <w:r>
              <w:rPr>
                <w:color w:val="333333"/>
                <w:sz w:val="19"/>
              </w:rPr>
              <w:t>$15,013</w:t>
            </w:r>
          </w:p>
        </w:tc>
        <w:tc>
          <w:tcPr>
            <w:tcW w:type="dxa" w:w="2268"/>
            <w:shd w:val="clear" w:color="auto" w:fill="F0F4FA"/>
          </w:tcPr>
          <w:p>
            <w:pPr>
              <w:jc w:val="right"/>
            </w:pPr>
            <w:r>
              <w:rPr>
                <w:color w:val="333333"/>
                <w:sz w:val="19"/>
              </w:rPr>
              <w:t>39.2%</w:t>
            </w:r>
          </w:p>
        </w:tc>
      </w:tr>
      <w:tr>
        <w:tc>
          <w:tcPr>
            <w:tcW w:type="dxa" w:w="3969"/>
            <w:shd w:val="clear" w:color="auto" w:fill="FFFFFF"/>
          </w:tcPr>
          <w:p>
            <w:pPr>
              <w:jc w:val="left"/>
            </w:pPr>
            <w:r>
              <w:rPr>
                <w:b/>
                <w:color w:val="1A2C5B"/>
                <w:sz w:val="19"/>
              </w:rPr>
              <w:t>Compensación CEO (nueva)</w:t>
            </w:r>
          </w:p>
        </w:tc>
        <w:tc>
          <w:tcPr>
            <w:tcW w:type="dxa" w:w="2268"/>
            <w:shd w:val="clear" w:color="auto" w:fill="FFFFFF"/>
          </w:tcPr>
          <w:p>
            <w:pPr>
              <w:jc w:val="right"/>
            </w:pPr>
            <w:r>
              <w:rPr>
                <w:color w:val="333333"/>
                <w:sz w:val="19"/>
              </w:rPr>
              <w:t>$54,000</w:t>
            </w:r>
          </w:p>
        </w:tc>
        <w:tc>
          <w:tcPr>
            <w:tcW w:type="dxa" w:w="2268"/>
            <w:shd w:val="clear" w:color="auto" w:fill="FFFFFF"/>
          </w:tcPr>
          <w:p>
            <w:pPr>
              <w:jc w:val="right"/>
            </w:pPr>
            <w:r>
              <w:rPr>
                <w:color w:val="333333"/>
                <w:sz w:val="19"/>
              </w:rPr>
              <w:t>$4,500</w:t>
            </w:r>
          </w:p>
        </w:tc>
        <w:tc>
          <w:tcPr>
            <w:tcW w:type="dxa" w:w="2268"/>
            <w:shd w:val="clear" w:color="auto" w:fill="FFFFFF"/>
          </w:tcPr>
          <w:p>
            <w:pPr>
              <w:jc w:val="right"/>
            </w:pPr>
            <w:r>
              <w:rPr>
                <w:color w:val="333333"/>
                <w:sz w:val="19"/>
              </w:rPr>
              <w:t>11.8%</w:t>
            </w:r>
          </w:p>
        </w:tc>
      </w:tr>
      <w:tr>
        <w:tc>
          <w:tcPr>
            <w:tcW w:type="dxa" w:w="3969"/>
            <w:shd w:val="clear" w:color="auto" w:fill="F0F4FA"/>
          </w:tcPr>
          <w:p>
            <w:pPr>
              <w:jc w:val="left"/>
            </w:pPr>
            <w:r>
              <w:rPr>
                <w:b/>
                <w:color w:val="1A2C5B"/>
                <w:sz w:val="19"/>
              </w:rPr>
              <w:t>Alquiler de instalaciones</w:t>
            </w:r>
          </w:p>
        </w:tc>
        <w:tc>
          <w:tcPr>
            <w:tcW w:type="dxa" w:w="2268"/>
            <w:shd w:val="clear" w:color="auto" w:fill="F0F4FA"/>
          </w:tcPr>
          <w:p>
            <w:pPr>
              <w:jc w:val="right"/>
            </w:pPr>
            <w:r>
              <w:rPr>
                <w:color w:val="333333"/>
                <w:sz w:val="19"/>
              </w:rPr>
              <w:t>$16,000</w:t>
            </w:r>
          </w:p>
        </w:tc>
        <w:tc>
          <w:tcPr>
            <w:tcW w:type="dxa" w:w="2268"/>
            <w:shd w:val="clear" w:color="auto" w:fill="F0F4FA"/>
          </w:tcPr>
          <w:p>
            <w:pPr>
              <w:jc w:val="right"/>
            </w:pPr>
            <w:r>
              <w:rPr>
                <w:color w:val="333333"/>
                <w:sz w:val="19"/>
              </w:rPr>
              <w:t>$1,333</w:t>
            </w:r>
          </w:p>
        </w:tc>
        <w:tc>
          <w:tcPr>
            <w:tcW w:type="dxa" w:w="2268"/>
            <w:shd w:val="clear" w:color="auto" w:fill="F0F4FA"/>
          </w:tcPr>
          <w:p>
            <w:pPr>
              <w:jc w:val="right"/>
            </w:pPr>
            <w:r>
              <w:rPr>
                <w:color w:val="333333"/>
                <w:sz w:val="19"/>
              </w:rPr>
              <w:t>3.5%</w:t>
            </w:r>
          </w:p>
        </w:tc>
      </w:tr>
      <w:tr>
        <w:tc>
          <w:tcPr>
            <w:tcW w:type="dxa" w:w="3969"/>
            <w:shd w:val="clear" w:color="auto" w:fill="FFFFFF"/>
          </w:tcPr>
          <w:p>
            <w:pPr>
              <w:jc w:val="left"/>
            </w:pPr>
            <w:r>
              <w:rPr>
                <w:b/>
                <w:color w:val="1A2C5B"/>
                <w:sz w:val="19"/>
              </w:rPr>
              <w:t>Servicios de TI y procesamiento</w:t>
            </w:r>
          </w:p>
        </w:tc>
        <w:tc>
          <w:tcPr>
            <w:tcW w:type="dxa" w:w="2268"/>
            <w:shd w:val="clear" w:color="auto" w:fill="FFFFFF"/>
          </w:tcPr>
          <w:p>
            <w:pPr>
              <w:jc w:val="right"/>
            </w:pPr>
            <w:r>
              <w:rPr>
                <w:color w:val="333333"/>
                <w:sz w:val="19"/>
              </w:rPr>
              <w:t>$38,022</w:t>
            </w:r>
          </w:p>
        </w:tc>
        <w:tc>
          <w:tcPr>
            <w:tcW w:type="dxa" w:w="2268"/>
            <w:shd w:val="clear" w:color="auto" w:fill="FFFFFF"/>
          </w:tcPr>
          <w:p>
            <w:pPr>
              <w:jc w:val="right"/>
            </w:pPr>
            <w:r>
              <w:rPr>
                <w:color w:val="333333"/>
                <w:sz w:val="19"/>
              </w:rPr>
              <w:t>$3,168</w:t>
            </w:r>
          </w:p>
        </w:tc>
        <w:tc>
          <w:tcPr>
            <w:tcW w:type="dxa" w:w="2268"/>
            <w:shd w:val="clear" w:color="auto" w:fill="FFFFFF"/>
          </w:tcPr>
          <w:p>
            <w:pPr>
              <w:jc w:val="right"/>
            </w:pPr>
            <w:r>
              <w:rPr>
                <w:color w:val="333333"/>
                <w:sz w:val="19"/>
              </w:rPr>
              <w:t>8.3%</w:t>
            </w:r>
          </w:p>
        </w:tc>
      </w:tr>
      <w:tr>
        <w:tc>
          <w:tcPr>
            <w:tcW w:type="dxa" w:w="3969"/>
            <w:shd w:val="clear" w:color="auto" w:fill="F0F4FA"/>
          </w:tcPr>
          <w:p>
            <w:pPr>
              <w:jc w:val="left"/>
            </w:pPr>
            <w:r>
              <w:rPr>
                <w:b/>
                <w:color w:val="1A2C5B"/>
                <w:sz w:val="19"/>
              </w:rPr>
              <w:t>Honorarios profesionales</w:t>
            </w:r>
          </w:p>
        </w:tc>
        <w:tc>
          <w:tcPr>
            <w:tcW w:type="dxa" w:w="2268"/>
            <w:shd w:val="clear" w:color="auto" w:fill="F0F4FA"/>
          </w:tcPr>
          <w:p>
            <w:pPr>
              <w:jc w:val="right"/>
            </w:pPr>
            <w:r>
              <w:rPr>
                <w:color w:val="333333"/>
                <w:sz w:val="19"/>
              </w:rPr>
              <w:t>$31,752</w:t>
            </w:r>
          </w:p>
        </w:tc>
        <w:tc>
          <w:tcPr>
            <w:tcW w:type="dxa" w:w="2268"/>
            <w:shd w:val="clear" w:color="auto" w:fill="F0F4FA"/>
          </w:tcPr>
          <w:p>
            <w:pPr>
              <w:jc w:val="right"/>
            </w:pPr>
            <w:r>
              <w:rPr>
                <w:color w:val="333333"/>
                <w:sz w:val="19"/>
              </w:rPr>
              <w:t>$2,646</w:t>
            </w:r>
          </w:p>
        </w:tc>
        <w:tc>
          <w:tcPr>
            <w:tcW w:type="dxa" w:w="2268"/>
            <w:shd w:val="clear" w:color="auto" w:fill="F0F4FA"/>
          </w:tcPr>
          <w:p>
            <w:pPr>
              <w:jc w:val="right"/>
            </w:pPr>
            <w:r>
              <w:rPr>
                <w:color w:val="333333"/>
                <w:sz w:val="19"/>
              </w:rPr>
              <w:t>6.9%</w:t>
            </w:r>
          </w:p>
        </w:tc>
      </w:tr>
      <w:tr>
        <w:tc>
          <w:tcPr>
            <w:tcW w:type="dxa" w:w="3969"/>
            <w:shd w:val="clear" w:color="auto" w:fill="FFFFFF"/>
          </w:tcPr>
          <w:p>
            <w:pPr>
              <w:jc w:val="left"/>
            </w:pPr>
            <w:r>
              <w:rPr>
                <w:b/>
                <w:color w:val="1A2C5B"/>
                <w:sz w:val="19"/>
              </w:rPr>
              <w:t>Mantenimiento de infraestructura</w:t>
            </w:r>
          </w:p>
        </w:tc>
        <w:tc>
          <w:tcPr>
            <w:tcW w:type="dxa" w:w="2268"/>
            <w:shd w:val="clear" w:color="auto" w:fill="FFFFFF"/>
          </w:tcPr>
          <w:p>
            <w:pPr>
              <w:jc w:val="right"/>
            </w:pPr>
            <w:r>
              <w:rPr>
                <w:color w:val="333333"/>
                <w:sz w:val="19"/>
              </w:rPr>
              <w:t>$14,080</w:t>
            </w:r>
          </w:p>
        </w:tc>
        <w:tc>
          <w:tcPr>
            <w:tcW w:type="dxa" w:w="2268"/>
            <w:shd w:val="clear" w:color="auto" w:fill="FFFFFF"/>
          </w:tcPr>
          <w:p>
            <w:pPr>
              <w:jc w:val="right"/>
            </w:pPr>
            <w:r>
              <w:rPr>
                <w:color w:val="333333"/>
                <w:sz w:val="19"/>
              </w:rPr>
              <w:t>$1,173</w:t>
            </w:r>
          </w:p>
        </w:tc>
        <w:tc>
          <w:tcPr>
            <w:tcW w:type="dxa" w:w="2268"/>
            <w:shd w:val="clear" w:color="auto" w:fill="FFFFFF"/>
          </w:tcPr>
          <w:p>
            <w:pPr>
              <w:jc w:val="right"/>
            </w:pPr>
            <w:r>
              <w:rPr>
                <w:color w:val="333333"/>
                <w:sz w:val="19"/>
              </w:rPr>
              <w:t>3.1%</w:t>
            </w:r>
          </w:p>
        </w:tc>
      </w:tr>
      <w:tr>
        <w:tc>
          <w:tcPr>
            <w:tcW w:type="dxa" w:w="3969"/>
            <w:shd w:val="clear" w:color="auto" w:fill="F0F4FA"/>
          </w:tcPr>
          <w:p>
            <w:pPr>
              <w:jc w:val="left"/>
            </w:pPr>
            <w:r>
              <w:rPr>
                <w:b/>
                <w:color w:val="1A2C5B"/>
                <w:sz w:val="19"/>
              </w:rPr>
              <w:t>Mantenimiento de equipos</w:t>
            </w:r>
          </w:p>
        </w:tc>
        <w:tc>
          <w:tcPr>
            <w:tcW w:type="dxa" w:w="2268"/>
            <w:shd w:val="clear" w:color="auto" w:fill="F0F4FA"/>
          </w:tcPr>
          <w:p>
            <w:pPr>
              <w:jc w:val="right"/>
            </w:pPr>
            <w:r>
              <w:rPr>
                <w:color w:val="333333"/>
                <w:sz w:val="19"/>
              </w:rPr>
              <w:t>$6,490</w:t>
            </w:r>
          </w:p>
        </w:tc>
        <w:tc>
          <w:tcPr>
            <w:tcW w:type="dxa" w:w="2268"/>
            <w:shd w:val="clear" w:color="auto" w:fill="F0F4FA"/>
          </w:tcPr>
          <w:p>
            <w:pPr>
              <w:jc w:val="right"/>
            </w:pPr>
            <w:r>
              <w:rPr>
                <w:color w:val="333333"/>
                <w:sz w:val="19"/>
              </w:rPr>
              <w:t>$541</w:t>
            </w:r>
          </w:p>
        </w:tc>
        <w:tc>
          <w:tcPr>
            <w:tcW w:type="dxa" w:w="2268"/>
            <w:shd w:val="clear" w:color="auto" w:fill="F0F4FA"/>
          </w:tcPr>
          <w:p>
            <w:pPr>
              <w:jc w:val="right"/>
            </w:pPr>
            <w:r>
              <w:rPr>
                <w:color w:val="333333"/>
                <w:sz w:val="19"/>
              </w:rPr>
              <w:t>1.4%</w:t>
            </w:r>
          </w:p>
        </w:tc>
      </w:tr>
      <w:tr>
        <w:tc>
          <w:tcPr>
            <w:tcW w:type="dxa" w:w="3969"/>
            <w:shd w:val="clear" w:color="auto" w:fill="FFFFFF"/>
          </w:tcPr>
          <w:p>
            <w:pPr>
              <w:jc w:val="left"/>
            </w:pPr>
            <w:r>
              <w:rPr>
                <w:b/>
                <w:color w:val="1A2C5B"/>
                <w:sz w:val="19"/>
              </w:rPr>
              <w:t>Depreciación de equipos</w:t>
            </w:r>
          </w:p>
        </w:tc>
        <w:tc>
          <w:tcPr>
            <w:tcW w:type="dxa" w:w="2268"/>
            <w:shd w:val="clear" w:color="auto" w:fill="FFFFFF"/>
          </w:tcPr>
          <w:p>
            <w:pPr>
              <w:jc w:val="right"/>
            </w:pPr>
            <w:r>
              <w:rPr>
                <w:color w:val="333333"/>
                <w:sz w:val="19"/>
              </w:rPr>
              <w:t>$3,146</w:t>
            </w:r>
          </w:p>
        </w:tc>
        <w:tc>
          <w:tcPr>
            <w:tcW w:type="dxa" w:w="2268"/>
            <w:shd w:val="clear" w:color="auto" w:fill="FFFFFF"/>
          </w:tcPr>
          <w:p>
            <w:pPr>
              <w:jc w:val="right"/>
            </w:pPr>
            <w:r>
              <w:rPr>
                <w:color w:val="333333"/>
                <w:sz w:val="19"/>
              </w:rPr>
              <w:t>$262</w:t>
            </w:r>
          </w:p>
        </w:tc>
        <w:tc>
          <w:tcPr>
            <w:tcW w:type="dxa" w:w="2268"/>
            <w:shd w:val="clear" w:color="auto" w:fill="FFFFFF"/>
          </w:tcPr>
          <w:p>
            <w:pPr>
              <w:jc w:val="right"/>
            </w:pPr>
            <w:r>
              <w:rPr>
                <w:color w:val="333333"/>
                <w:sz w:val="19"/>
              </w:rPr>
              <w:t>0.7%</w:t>
            </w:r>
          </w:p>
        </w:tc>
      </w:tr>
      <w:tr>
        <w:tc>
          <w:tcPr>
            <w:tcW w:type="dxa" w:w="3969"/>
            <w:shd w:val="clear" w:color="auto" w:fill="F0F4FA"/>
          </w:tcPr>
          <w:p>
            <w:pPr>
              <w:jc w:val="left"/>
            </w:pPr>
            <w:r>
              <w:rPr>
                <w:b/>
                <w:color w:val="1A2C5B"/>
                <w:sz w:val="19"/>
              </w:rPr>
              <w:t>Capacitación y mejoramiento</w:t>
            </w:r>
          </w:p>
        </w:tc>
        <w:tc>
          <w:tcPr>
            <w:tcW w:type="dxa" w:w="2268"/>
            <w:shd w:val="clear" w:color="auto" w:fill="F0F4FA"/>
          </w:tcPr>
          <w:p>
            <w:pPr>
              <w:jc w:val="right"/>
            </w:pPr>
            <w:r>
              <w:rPr>
                <w:color w:val="333333"/>
                <w:sz w:val="19"/>
              </w:rPr>
              <w:t>$3,620</w:t>
            </w:r>
          </w:p>
        </w:tc>
        <w:tc>
          <w:tcPr>
            <w:tcW w:type="dxa" w:w="2268"/>
            <w:shd w:val="clear" w:color="auto" w:fill="F0F4FA"/>
          </w:tcPr>
          <w:p>
            <w:pPr>
              <w:jc w:val="right"/>
            </w:pPr>
            <w:r>
              <w:rPr>
                <w:color w:val="333333"/>
                <w:sz w:val="19"/>
              </w:rPr>
              <w:t>$302</w:t>
            </w:r>
          </w:p>
        </w:tc>
        <w:tc>
          <w:tcPr>
            <w:tcW w:type="dxa" w:w="2268"/>
            <w:shd w:val="clear" w:color="auto" w:fill="F0F4FA"/>
          </w:tcPr>
          <w:p>
            <w:pPr>
              <w:jc w:val="right"/>
            </w:pPr>
            <w:r>
              <w:rPr>
                <w:color w:val="333333"/>
                <w:sz w:val="19"/>
              </w:rPr>
              <w:t>0.8%</w:t>
            </w:r>
          </w:p>
        </w:tc>
      </w:tr>
      <w:tr>
        <w:tc>
          <w:tcPr>
            <w:tcW w:type="dxa" w:w="3969"/>
            <w:shd w:val="clear" w:color="auto" w:fill="FFFFFF"/>
          </w:tcPr>
          <w:p>
            <w:pPr>
              <w:jc w:val="left"/>
            </w:pPr>
            <w:r>
              <w:rPr>
                <w:b/>
                <w:color w:val="1A2C5B"/>
                <w:sz w:val="19"/>
              </w:rPr>
              <w:t>Servicios básicos y comunicaciones</w:t>
            </w:r>
          </w:p>
        </w:tc>
        <w:tc>
          <w:tcPr>
            <w:tcW w:type="dxa" w:w="2268"/>
            <w:shd w:val="clear" w:color="auto" w:fill="FFFFFF"/>
          </w:tcPr>
          <w:p>
            <w:pPr>
              <w:jc w:val="right"/>
            </w:pPr>
            <w:r>
              <w:rPr>
                <w:color w:val="333333"/>
                <w:sz w:val="19"/>
              </w:rPr>
              <w:t>$8,400</w:t>
            </w:r>
          </w:p>
        </w:tc>
        <w:tc>
          <w:tcPr>
            <w:tcW w:type="dxa" w:w="2268"/>
            <w:shd w:val="clear" w:color="auto" w:fill="FFFFFF"/>
          </w:tcPr>
          <w:p>
            <w:pPr>
              <w:jc w:val="right"/>
            </w:pPr>
            <w:r>
              <w:rPr>
                <w:color w:val="333333"/>
                <w:sz w:val="19"/>
              </w:rPr>
              <w:t>$700</w:t>
            </w:r>
          </w:p>
        </w:tc>
        <w:tc>
          <w:tcPr>
            <w:tcW w:type="dxa" w:w="2268"/>
            <w:shd w:val="clear" w:color="auto" w:fill="FFFFFF"/>
          </w:tcPr>
          <w:p>
            <w:pPr>
              <w:jc w:val="right"/>
            </w:pPr>
            <w:r>
              <w:rPr>
                <w:color w:val="333333"/>
                <w:sz w:val="19"/>
              </w:rPr>
              <w:t>1.8%</w:t>
            </w:r>
          </w:p>
        </w:tc>
      </w:tr>
      <w:tr>
        <w:tc>
          <w:tcPr>
            <w:tcW w:type="dxa" w:w="3969"/>
            <w:shd w:val="clear" w:color="auto" w:fill="F0F4FA"/>
          </w:tcPr>
          <w:p>
            <w:pPr>
              <w:jc w:val="left"/>
            </w:pPr>
            <w:r>
              <w:rPr>
                <w:b/>
                <w:color w:val="1A2C5B"/>
                <w:sz w:val="19"/>
              </w:rPr>
              <w:t>Seguros y varios</w:t>
            </w:r>
          </w:p>
        </w:tc>
        <w:tc>
          <w:tcPr>
            <w:tcW w:type="dxa" w:w="2268"/>
            <w:shd w:val="clear" w:color="auto" w:fill="F0F4FA"/>
          </w:tcPr>
          <w:p>
            <w:pPr>
              <w:jc w:val="right"/>
            </w:pPr>
            <w:r>
              <w:rPr>
                <w:color w:val="333333"/>
                <w:sz w:val="19"/>
              </w:rPr>
              <w:t>$3,000</w:t>
            </w:r>
          </w:p>
        </w:tc>
        <w:tc>
          <w:tcPr>
            <w:tcW w:type="dxa" w:w="2268"/>
            <w:shd w:val="clear" w:color="auto" w:fill="F0F4FA"/>
          </w:tcPr>
          <w:p>
            <w:pPr>
              <w:jc w:val="right"/>
            </w:pPr>
            <w:r>
              <w:rPr>
                <w:color w:val="333333"/>
                <w:sz w:val="19"/>
              </w:rPr>
              <w:t>$250</w:t>
            </w:r>
          </w:p>
        </w:tc>
        <w:tc>
          <w:tcPr>
            <w:tcW w:type="dxa" w:w="2268"/>
            <w:shd w:val="clear" w:color="auto" w:fill="F0F4FA"/>
          </w:tcPr>
          <w:p>
            <w:pPr>
              <w:jc w:val="right"/>
            </w:pPr>
            <w:r>
              <w:rPr>
                <w:color w:val="333333"/>
                <w:sz w:val="19"/>
              </w:rPr>
              <w:t>0.7%</w:t>
            </w:r>
          </w:p>
        </w:tc>
      </w:tr>
      <w:tr>
        <w:tc>
          <w:tcPr>
            <w:tcW w:type="dxa" w:w="3969"/>
            <w:shd w:val="clear" w:color="auto" w:fill="FFFFFF"/>
          </w:tcPr>
          <w:p>
            <w:pPr>
              <w:jc w:val="left"/>
            </w:pPr>
            <w:r>
              <w:rPr>
                <w:b/>
                <w:color w:val="1A2C5B"/>
                <w:sz w:val="19"/>
              </w:rPr>
              <w:t>Otros costos operativos</w:t>
            </w:r>
          </w:p>
        </w:tc>
        <w:tc>
          <w:tcPr>
            <w:tcW w:type="dxa" w:w="2268"/>
            <w:shd w:val="clear" w:color="auto" w:fill="FFFFFF"/>
          </w:tcPr>
          <w:p>
            <w:pPr>
              <w:jc w:val="right"/>
            </w:pPr>
            <w:r>
              <w:rPr>
                <w:color w:val="333333"/>
                <w:sz w:val="19"/>
              </w:rPr>
              <w:t>$15,000</w:t>
            </w:r>
          </w:p>
        </w:tc>
        <w:tc>
          <w:tcPr>
            <w:tcW w:type="dxa" w:w="2268"/>
            <w:shd w:val="clear" w:color="auto" w:fill="FFFFFF"/>
          </w:tcPr>
          <w:p>
            <w:pPr>
              <w:jc w:val="right"/>
            </w:pPr>
            <w:r>
              <w:rPr>
                <w:color w:val="333333"/>
                <w:sz w:val="19"/>
              </w:rPr>
              <w:t>$1,250</w:t>
            </w:r>
          </w:p>
        </w:tc>
        <w:tc>
          <w:tcPr>
            <w:tcW w:type="dxa" w:w="2268"/>
            <w:shd w:val="clear" w:color="auto" w:fill="FFFFFF"/>
          </w:tcPr>
          <w:p>
            <w:pPr>
              <w:jc w:val="right"/>
            </w:pPr>
            <w:r>
              <w:rPr>
                <w:color w:val="333333"/>
                <w:sz w:val="19"/>
              </w:rPr>
              <w:t>3.3%</w:t>
            </w:r>
          </w:p>
        </w:tc>
      </w:tr>
      <w:tr>
        <w:tc>
          <w:tcPr>
            <w:tcW w:type="dxa" w:w="3969"/>
            <w:shd w:val="clear" w:color="auto" w:fill="F0F4FA"/>
          </w:tcPr>
          <w:p>
            <w:pPr>
              <w:jc w:val="left"/>
            </w:pPr>
            <w:r>
              <w:rPr>
                <w:b/>
                <w:color w:val="1A2C5B"/>
                <w:sz w:val="19"/>
              </w:rPr>
              <w:t>TOTAL COSTOS OPERATIVOS</w:t>
            </w:r>
          </w:p>
        </w:tc>
        <w:tc>
          <w:tcPr>
            <w:tcW w:type="dxa" w:w="2268"/>
            <w:shd w:val="clear" w:color="auto" w:fill="F0F4FA"/>
          </w:tcPr>
          <w:p>
            <w:pPr>
              <w:jc w:val="right"/>
            </w:pPr>
            <w:r>
              <w:rPr>
                <w:color w:val="333333"/>
                <w:sz w:val="19"/>
              </w:rPr>
              <w:t>≈ $373,669</w:t>
            </w:r>
          </w:p>
        </w:tc>
        <w:tc>
          <w:tcPr>
            <w:tcW w:type="dxa" w:w="2268"/>
            <w:shd w:val="clear" w:color="auto" w:fill="F0F4FA"/>
          </w:tcPr>
          <w:p>
            <w:pPr>
              <w:jc w:val="right"/>
            </w:pPr>
            <w:r>
              <w:rPr>
                <w:color w:val="333333"/>
                <w:sz w:val="19"/>
              </w:rPr>
              <w:t>≈ $31,139</w:t>
            </w:r>
          </w:p>
        </w:tc>
        <w:tc>
          <w:tcPr>
            <w:tcW w:type="dxa" w:w="2268"/>
            <w:shd w:val="clear" w:color="auto" w:fill="F0F4FA"/>
          </w:tcPr>
          <w:p>
            <w:pPr>
              <w:jc w:val="right"/>
            </w:pPr>
            <w:r>
              <w:rPr>
                <w:color w:val="333333"/>
                <w:sz w:val="19"/>
              </w:rPr>
              <w:t>81.4%</w:t>
            </w:r>
          </w:p>
        </w:tc>
      </w:tr>
    </w:tbl>
    <w:p>
      <w:pPr>
        <w:spacing w:after="40"/>
      </w:pPr>
    </w:p>
    <w:p>
      <w:pPr>
        <w:spacing w:before="200" w:after="60"/>
        <w:pBdr>
          <w:bottom w:val="single" w:sz="6" w:space="1" w:color="1A2C5B"/>
        </w:pBdr>
      </w:pPr>
      <w:r>
        <w:rPr>
          <w:b/>
          <w:color w:val="1A2C5B"/>
          <w:sz w:val="22"/>
        </w:rPr>
        <w:t>3.4  RESUMEN EBITDA</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3118"/>
            <w:shd w:val="clear" w:color="auto" w:fill="1A2C5B"/>
          </w:tcPr>
          <w:p>
            <w:pPr>
              <w:jc w:val="center"/>
            </w:pPr>
            <w:r>
              <w:rPr>
                <w:b/>
                <w:color w:val="FFFFFF"/>
                <w:sz w:val="19"/>
              </w:rPr>
              <w:t>Escenario</w:t>
            </w:r>
          </w:p>
        </w:tc>
        <w:tc>
          <w:tcPr>
            <w:tcW w:type="dxa" w:w="2268"/>
            <w:shd w:val="clear" w:color="auto" w:fill="1A2C5B"/>
          </w:tcPr>
          <w:p>
            <w:pPr>
              <w:jc w:val="center"/>
            </w:pPr>
            <w:r>
              <w:rPr>
                <w:b/>
                <w:color w:val="FFFFFF"/>
                <w:sz w:val="19"/>
              </w:rPr>
              <w:t>Ingreso Anual</w:t>
            </w:r>
          </w:p>
        </w:tc>
        <w:tc>
          <w:tcPr>
            <w:tcW w:type="dxa" w:w="2268"/>
            <w:shd w:val="clear" w:color="auto" w:fill="1A2C5B"/>
          </w:tcPr>
          <w:p>
            <w:pPr>
              <w:jc w:val="center"/>
            </w:pPr>
            <w:r>
              <w:rPr>
                <w:b/>
                <w:color w:val="FFFFFF"/>
                <w:sz w:val="19"/>
              </w:rPr>
              <w:t>Costos Totales</w:t>
            </w:r>
          </w:p>
        </w:tc>
        <w:tc>
          <w:tcPr>
            <w:tcW w:type="dxa" w:w="1984"/>
            <w:shd w:val="clear" w:color="auto" w:fill="1A2C5B"/>
          </w:tcPr>
          <w:p>
            <w:pPr>
              <w:jc w:val="center"/>
            </w:pPr>
            <w:r>
              <w:rPr>
                <w:b/>
                <w:color w:val="FFFFFF"/>
                <w:sz w:val="19"/>
              </w:rPr>
              <w:t>EBITDA</w:t>
            </w:r>
          </w:p>
        </w:tc>
        <w:tc>
          <w:tcPr>
            <w:tcW w:type="dxa" w:w="2268"/>
            <w:shd w:val="clear" w:color="auto" w:fill="1A2C5B"/>
          </w:tcPr>
          <w:p>
            <w:pPr>
              <w:jc w:val="center"/>
            </w:pPr>
            <w:r>
              <w:rPr>
                <w:b/>
                <w:color w:val="FFFFFF"/>
                <w:sz w:val="19"/>
              </w:rPr>
              <w:t>Margen EBITDA</w:t>
            </w:r>
          </w:p>
        </w:tc>
      </w:tr>
      <w:tr>
        <w:tc>
          <w:tcPr>
            <w:tcW w:type="dxa" w:w="3118"/>
            <w:shd w:val="clear" w:color="auto" w:fill="F0F4FA"/>
          </w:tcPr>
          <w:p>
            <w:pPr>
              <w:jc w:val="left"/>
            </w:pPr>
            <w:r>
              <w:rPr>
                <w:b/>
                <w:color w:val="1A2C5B"/>
                <w:sz w:val="19"/>
              </w:rPr>
              <w:t>Conservador (90% cobranza)</w:t>
            </w:r>
          </w:p>
        </w:tc>
        <w:tc>
          <w:tcPr>
            <w:tcW w:type="dxa" w:w="2268"/>
            <w:shd w:val="clear" w:color="auto" w:fill="F0F4FA"/>
          </w:tcPr>
          <w:p>
            <w:pPr>
              <w:jc w:val="right"/>
            </w:pPr>
            <w:r>
              <w:rPr>
                <w:color w:val="333333"/>
                <w:sz w:val="19"/>
              </w:rPr>
              <w:t>$459,317</w:t>
            </w:r>
          </w:p>
        </w:tc>
        <w:tc>
          <w:tcPr>
            <w:tcW w:type="dxa" w:w="2268"/>
            <w:shd w:val="clear" w:color="auto" w:fill="F0F4FA"/>
          </w:tcPr>
          <w:p>
            <w:pPr>
              <w:jc w:val="right"/>
            </w:pPr>
            <w:r>
              <w:rPr>
                <w:color w:val="333333"/>
                <w:sz w:val="19"/>
              </w:rPr>
              <w:t>$373,669</w:t>
            </w:r>
          </w:p>
        </w:tc>
        <w:tc>
          <w:tcPr>
            <w:tcW w:type="dxa" w:w="1984"/>
            <w:shd w:val="clear" w:color="auto" w:fill="F0F4FA"/>
          </w:tcPr>
          <w:p>
            <w:pPr>
              <w:jc w:val="right"/>
            </w:pPr>
            <w:r>
              <w:rPr>
                <w:color w:val="333333"/>
                <w:sz w:val="19"/>
              </w:rPr>
              <w:t>$85,648</w:t>
            </w:r>
          </w:p>
        </w:tc>
        <w:tc>
          <w:tcPr>
            <w:tcW w:type="dxa" w:w="2268"/>
            <w:shd w:val="clear" w:color="auto" w:fill="F0F4FA"/>
          </w:tcPr>
          <w:p>
            <w:pPr>
              <w:jc w:val="right"/>
            </w:pPr>
            <w:r>
              <w:rPr>
                <w:color w:val="333333"/>
                <w:sz w:val="19"/>
              </w:rPr>
              <w:t>18.6%</w:t>
            </w:r>
          </w:p>
        </w:tc>
      </w:tr>
      <w:tr>
        <w:tc>
          <w:tcPr>
            <w:tcW w:type="dxa" w:w="3118"/>
            <w:shd w:val="clear" w:color="auto" w:fill="FFFFFF"/>
          </w:tcPr>
          <w:p>
            <w:pPr>
              <w:jc w:val="left"/>
            </w:pPr>
            <w:r>
              <w:rPr>
                <w:b/>
                <w:color w:val="1A2C5B"/>
                <w:sz w:val="19"/>
              </w:rPr>
              <w:t>Base (95% cobranza)</w:t>
            </w:r>
          </w:p>
        </w:tc>
        <w:tc>
          <w:tcPr>
            <w:tcW w:type="dxa" w:w="2268"/>
            <w:shd w:val="clear" w:color="auto" w:fill="FFFFFF"/>
          </w:tcPr>
          <w:p>
            <w:pPr>
              <w:jc w:val="right"/>
            </w:pPr>
            <w:r>
              <w:rPr>
                <w:color w:val="333333"/>
                <w:sz w:val="19"/>
              </w:rPr>
              <w:t>$484,834</w:t>
            </w:r>
          </w:p>
        </w:tc>
        <w:tc>
          <w:tcPr>
            <w:tcW w:type="dxa" w:w="2268"/>
            <w:shd w:val="clear" w:color="auto" w:fill="FFFFFF"/>
          </w:tcPr>
          <w:p>
            <w:pPr>
              <w:jc w:val="right"/>
            </w:pPr>
            <w:r>
              <w:rPr>
                <w:color w:val="333333"/>
                <w:sz w:val="19"/>
              </w:rPr>
              <w:t>$373,669</w:t>
            </w:r>
          </w:p>
        </w:tc>
        <w:tc>
          <w:tcPr>
            <w:tcW w:type="dxa" w:w="1984"/>
            <w:shd w:val="clear" w:color="auto" w:fill="FFFFFF"/>
          </w:tcPr>
          <w:p>
            <w:pPr>
              <w:jc w:val="right"/>
            </w:pPr>
            <w:r>
              <w:rPr>
                <w:color w:val="333333"/>
                <w:sz w:val="19"/>
              </w:rPr>
              <w:t>$111,165</w:t>
            </w:r>
          </w:p>
        </w:tc>
        <w:tc>
          <w:tcPr>
            <w:tcW w:type="dxa" w:w="2268"/>
            <w:shd w:val="clear" w:color="auto" w:fill="FFFFFF"/>
          </w:tcPr>
          <w:p>
            <w:pPr>
              <w:jc w:val="right"/>
            </w:pPr>
            <w:r>
              <w:rPr>
                <w:color w:val="333333"/>
                <w:sz w:val="19"/>
              </w:rPr>
              <w:t>22.9%</w:t>
            </w:r>
          </w:p>
        </w:tc>
      </w:tr>
      <w:tr>
        <w:tc>
          <w:tcPr>
            <w:tcW w:type="dxa" w:w="3118"/>
            <w:shd w:val="clear" w:color="auto" w:fill="F0F4FA"/>
          </w:tcPr>
          <w:p>
            <w:pPr>
              <w:jc w:val="left"/>
            </w:pPr>
            <w:r>
              <w:rPr>
                <w:b/>
                <w:color w:val="1A2C5B"/>
                <w:sz w:val="19"/>
              </w:rPr>
              <w:t>Optimista (100% cobranza)</w:t>
            </w:r>
          </w:p>
        </w:tc>
        <w:tc>
          <w:tcPr>
            <w:tcW w:type="dxa" w:w="2268"/>
            <w:shd w:val="clear" w:color="auto" w:fill="F0F4FA"/>
          </w:tcPr>
          <w:p>
            <w:pPr>
              <w:jc w:val="right"/>
            </w:pPr>
            <w:r>
              <w:rPr>
                <w:color w:val="333333"/>
                <w:sz w:val="19"/>
              </w:rPr>
              <w:t>$510,352</w:t>
            </w:r>
          </w:p>
        </w:tc>
        <w:tc>
          <w:tcPr>
            <w:tcW w:type="dxa" w:w="2268"/>
            <w:shd w:val="clear" w:color="auto" w:fill="F0F4FA"/>
          </w:tcPr>
          <w:p>
            <w:pPr>
              <w:jc w:val="right"/>
            </w:pPr>
            <w:r>
              <w:rPr>
                <w:color w:val="333333"/>
                <w:sz w:val="19"/>
              </w:rPr>
              <w:t>$373,669</w:t>
            </w:r>
          </w:p>
        </w:tc>
        <w:tc>
          <w:tcPr>
            <w:tcW w:type="dxa" w:w="1984"/>
            <w:shd w:val="clear" w:color="auto" w:fill="F0F4FA"/>
          </w:tcPr>
          <w:p>
            <w:pPr>
              <w:jc w:val="right"/>
            </w:pPr>
            <w:r>
              <w:rPr>
                <w:color w:val="333333"/>
                <w:sz w:val="19"/>
              </w:rPr>
              <w:t>$136,683</w:t>
            </w:r>
          </w:p>
        </w:tc>
        <w:tc>
          <w:tcPr>
            <w:tcW w:type="dxa" w:w="2268"/>
            <w:shd w:val="clear" w:color="auto" w:fill="F0F4FA"/>
          </w:tcPr>
          <w:p>
            <w:pPr>
              <w:jc w:val="right"/>
            </w:pPr>
            <w:r>
              <w:rPr>
                <w:color w:val="333333"/>
                <w:sz w:val="19"/>
              </w:rPr>
              <w:t>26.8%</w:t>
            </w:r>
          </w:p>
        </w:tc>
      </w:tr>
      <w:tr>
        <w:tc>
          <w:tcPr>
            <w:tcW w:type="dxa" w:w="3118"/>
            <w:shd w:val="clear" w:color="auto" w:fill="FFFFFF"/>
          </w:tcPr>
          <w:p>
            <w:pPr>
              <w:jc w:val="left"/>
            </w:pPr>
            <w:r>
              <w:rPr>
                <w:b/>
                <w:color w:val="1A2C5B"/>
                <w:sz w:val="19"/>
              </w:rPr>
              <w:t>Con crecimiento de matrícula +10%</w:t>
            </w:r>
          </w:p>
        </w:tc>
        <w:tc>
          <w:tcPr>
            <w:tcW w:type="dxa" w:w="2268"/>
            <w:shd w:val="clear" w:color="auto" w:fill="FFFFFF"/>
          </w:tcPr>
          <w:p>
            <w:pPr>
              <w:jc w:val="right"/>
            </w:pPr>
            <w:r>
              <w:rPr>
                <w:color w:val="333333"/>
                <w:sz w:val="19"/>
              </w:rPr>
              <w:t>$561,387</w:t>
            </w:r>
          </w:p>
        </w:tc>
        <w:tc>
          <w:tcPr>
            <w:tcW w:type="dxa" w:w="2268"/>
            <w:shd w:val="clear" w:color="auto" w:fill="FFFFFF"/>
          </w:tcPr>
          <w:p>
            <w:pPr>
              <w:jc w:val="right"/>
            </w:pPr>
            <w:r>
              <w:rPr>
                <w:color w:val="333333"/>
                <w:sz w:val="19"/>
              </w:rPr>
              <w:t>$390,000</w:t>
            </w:r>
          </w:p>
        </w:tc>
        <w:tc>
          <w:tcPr>
            <w:tcW w:type="dxa" w:w="1984"/>
            <w:shd w:val="clear" w:color="auto" w:fill="FFFFFF"/>
          </w:tcPr>
          <w:p>
            <w:pPr>
              <w:jc w:val="right"/>
            </w:pPr>
            <w:r>
              <w:rPr>
                <w:color w:val="333333"/>
                <w:sz w:val="19"/>
              </w:rPr>
              <w:t>$171,387</w:t>
            </w:r>
          </w:p>
        </w:tc>
        <w:tc>
          <w:tcPr>
            <w:tcW w:type="dxa" w:w="2268"/>
            <w:shd w:val="clear" w:color="auto" w:fill="FFFFFF"/>
          </w:tcPr>
          <w:p>
            <w:pPr>
              <w:jc w:val="right"/>
            </w:pPr>
            <w:r>
              <w:rPr>
                <w:color w:val="333333"/>
                <w:sz w:val="19"/>
              </w:rPr>
              <w:t>30.5%</w:t>
            </w:r>
          </w:p>
        </w:tc>
      </w:tr>
    </w:tbl>
    <w:p>
      <w:pPr>
        <w:spacing w:after="40"/>
      </w:pPr>
    </w:p>
    <w:p>
      <w:pPr>
        <w:spacing w:before="40" w:after="80"/>
      </w:pPr>
      <w:r>
        <w:rPr>
          <w:b w:val="0"/>
          <w:i/>
          <w:color w:val="444444"/>
          <w:sz w:val="21"/>
        </w:rPr>
        <w:t>Nota: El EBITDA excluye depreciación/amortización de activos adquiridos y servicio de deuda de cualquier financiamiento de adquisición. Los estados financieros GAAP completos se prepararán durante la debida diligencia.</w:t>
      </w:r>
    </w:p>
    <w:p>
      <w:r>
        <w:br w:type="page"/>
      </w:r>
    </w:p>
    <w:tbl>
      <w:tblPr>
        <w:tblW w:type="auto" w:w="0"/>
        <w:jc w:val="center"/>
        <w:tblLook w:firstColumn="1" w:firstRow="1" w:lastColumn="0" w:lastRow="0" w:noHBand="0" w:noVBand="1" w:val="04A0"/>
      </w:tblPr>
      <w:tblGrid>
        <w:gridCol w:w="9066"/>
      </w:tblGrid>
      <w:tr>
        <w:tc>
          <w:tcPr>
            <w:tcW w:type="dxa" w:w="9066"/>
            <w:shd w:val="clear" w:color="auto" w:fill="1A2C5B"/>
            <w:tcMar>
              <w:top w:w="100" w:type="dxa"/>
              <w:bottom w:w="100" w:type="dxa"/>
              <w:left w:w="100" w:type="dxa"/>
              <w:right w:w="100" w:type="dxa"/>
            </w:tcMar>
          </w:tcPr>
          <w:p>
            <w:pPr>
              <w:spacing w:before="40" w:after="40"/>
              <w:jc w:val="center"/>
            </w:pPr>
            <w:r>
              <w:rPr>
                <w:b/>
                <w:color w:val="FFFFFF"/>
                <w:sz w:val="30"/>
              </w:rPr>
              <w:t>4 · VALUACIÓN Y ANÁLISIS DE ROI</w:t>
            </w:r>
          </w:p>
        </w:tc>
      </w:tr>
    </w:tbl>
    <w:p>
      <w:pPr>
        <w:spacing w:after="40"/>
      </w:pPr>
    </w:p>
    <w:p>
      <w:pPr>
        <w:spacing w:before="200" w:after="60"/>
        <w:pBdr>
          <w:bottom w:val="single" w:sz="6" w:space="1" w:color="1A2C5B"/>
        </w:pBdr>
      </w:pPr>
      <w:r>
        <w:rPr>
          <w:b/>
          <w:color w:val="1A2C5B"/>
          <w:sz w:val="22"/>
        </w:rPr>
        <w:t>4.1  METODOLOGÍA DE VALUACIÓN</w:t>
      </w:r>
    </w:p>
    <w:p>
      <w:pPr>
        <w:spacing w:before="40" w:after="80"/>
      </w:pPr>
      <w:r>
        <w:rPr>
          <w:b w:val="0"/>
          <w:i w:val="0"/>
          <w:color w:val="444444"/>
          <w:sz w:val="21"/>
        </w:rPr>
        <w:t>Se han aplicado tres enfoques de valuación estándar. Las adquisiciones de colegios privados en Venezuela típicamente se realizan a 5–10× EBITDA, reflejando la prima de iliquidez, el riesgo regulatorio y el entorno cambiario. El enfoque de múltiplo de ingresos sirve como verificación cruzada.</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2551"/>
            <w:shd w:val="clear" w:color="auto" w:fill="1A2C5B"/>
          </w:tcPr>
          <w:p>
            <w:pPr>
              <w:jc w:val="center"/>
            </w:pPr>
            <w:r>
              <w:rPr>
                <w:b/>
                <w:color w:val="FFFFFF"/>
                <w:sz w:val="19"/>
              </w:rPr>
              <w:t>Método</w:t>
            </w:r>
          </w:p>
        </w:tc>
        <w:tc>
          <w:tcPr>
            <w:tcW w:type="dxa" w:w="3118"/>
            <w:shd w:val="clear" w:color="auto" w:fill="1A2C5B"/>
          </w:tcPr>
          <w:p>
            <w:pPr>
              <w:jc w:val="center"/>
            </w:pPr>
            <w:r>
              <w:rPr>
                <w:b/>
                <w:color w:val="FFFFFF"/>
                <w:sz w:val="19"/>
              </w:rPr>
              <w:t>Base</w:t>
            </w:r>
          </w:p>
        </w:tc>
        <w:tc>
          <w:tcPr>
            <w:tcW w:type="dxa" w:w="1701"/>
            <w:shd w:val="clear" w:color="auto" w:fill="1A2C5B"/>
          </w:tcPr>
          <w:p>
            <w:pPr>
              <w:jc w:val="center"/>
            </w:pPr>
            <w:r>
              <w:rPr>
                <w:b/>
                <w:color w:val="FFFFFF"/>
                <w:sz w:val="19"/>
              </w:rPr>
              <w:t>Bajo (USD)</w:t>
            </w:r>
          </w:p>
        </w:tc>
        <w:tc>
          <w:tcPr>
            <w:tcW w:type="dxa" w:w="1701"/>
            <w:shd w:val="clear" w:color="auto" w:fill="1A2C5B"/>
          </w:tcPr>
          <w:p>
            <w:pPr>
              <w:jc w:val="center"/>
            </w:pPr>
            <w:r>
              <w:rPr>
                <w:b/>
                <w:color w:val="FFFFFF"/>
                <w:sz w:val="19"/>
              </w:rPr>
              <w:t>Medio (USD)</w:t>
            </w:r>
          </w:p>
        </w:tc>
        <w:tc>
          <w:tcPr>
            <w:tcW w:type="dxa" w:w="1701"/>
            <w:shd w:val="clear" w:color="auto" w:fill="1A2C5B"/>
          </w:tcPr>
          <w:p>
            <w:pPr>
              <w:jc w:val="center"/>
            </w:pPr>
            <w:r>
              <w:rPr>
                <w:b/>
                <w:color w:val="FFFFFF"/>
                <w:sz w:val="19"/>
              </w:rPr>
              <w:t>Alto (USD)</w:t>
            </w:r>
          </w:p>
        </w:tc>
      </w:tr>
      <w:tr>
        <w:tc>
          <w:tcPr>
            <w:tcW w:type="dxa" w:w="2551"/>
            <w:shd w:val="clear" w:color="auto" w:fill="F0F4FA"/>
          </w:tcPr>
          <w:p>
            <w:pPr>
              <w:jc w:val="left"/>
            </w:pPr>
            <w:r>
              <w:rPr>
                <w:b/>
                <w:color w:val="1A2C5B"/>
                <w:sz w:val="19"/>
              </w:rPr>
              <w:t>Múltiplo de EBITDA</w:t>
            </w:r>
          </w:p>
        </w:tc>
        <w:tc>
          <w:tcPr>
            <w:tcW w:type="dxa" w:w="3118"/>
            <w:shd w:val="clear" w:color="auto" w:fill="F0F4FA"/>
          </w:tcPr>
          <w:p>
            <w:pPr>
              <w:jc w:val="right"/>
            </w:pPr>
            <w:r>
              <w:rPr>
                <w:color w:val="333333"/>
                <w:sz w:val="19"/>
              </w:rPr>
              <w:t>5× – 10× EBITDA Base ($111K)</w:t>
            </w:r>
          </w:p>
        </w:tc>
        <w:tc>
          <w:tcPr>
            <w:tcW w:type="dxa" w:w="1701"/>
            <w:shd w:val="clear" w:color="auto" w:fill="F0F4FA"/>
          </w:tcPr>
          <w:p>
            <w:pPr>
              <w:jc w:val="right"/>
            </w:pPr>
            <w:r>
              <w:rPr>
                <w:color w:val="333333"/>
                <w:sz w:val="19"/>
              </w:rPr>
              <w:t>$555,000</w:t>
            </w:r>
          </w:p>
        </w:tc>
        <w:tc>
          <w:tcPr>
            <w:tcW w:type="dxa" w:w="1701"/>
            <w:shd w:val="clear" w:color="auto" w:fill="F0F4FA"/>
          </w:tcPr>
          <w:p>
            <w:pPr>
              <w:jc w:val="right"/>
            </w:pPr>
            <w:r>
              <w:rPr>
                <w:color w:val="333333"/>
                <w:sz w:val="19"/>
              </w:rPr>
              <w:t>$888,000</w:t>
            </w:r>
          </w:p>
        </w:tc>
        <w:tc>
          <w:tcPr>
            <w:tcW w:type="dxa" w:w="1701"/>
            <w:shd w:val="clear" w:color="auto" w:fill="F0F4FA"/>
          </w:tcPr>
          <w:p>
            <w:pPr>
              <w:jc w:val="right"/>
            </w:pPr>
            <w:r>
              <w:rPr>
                <w:color w:val="333333"/>
                <w:sz w:val="19"/>
              </w:rPr>
              <w:t>$1,110,000</w:t>
            </w:r>
          </w:p>
        </w:tc>
      </w:tr>
      <w:tr>
        <w:tc>
          <w:tcPr>
            <w:tcW w:type="dxa" w:w="2551"/>
            <w:shd w:val="clear" w:color="auto" w:fill="FFFFFF"/>
          </w:tcPr>
          <w:p>
            <w:pPr>
              <w:jc w:val="left"/>
            </w:pPr>
            <w:r>
              <w:rPr>
                <w:b/>
                <w:color w:val="1A2C5B"/>
                <w:sz w:val="19"/>
              </w:rPr>
              <w:t>Múltiplo de Ingresos</w:t>
            </w:r>
          </w:p>
        </w:tc>
        <w:tc>
          <w:tcPr>
            <w:tcW w:type="dxa" w:w="3118"/>
            <w:shd w:val="clear" w:color="auto" w:fill="FFFFFF"/>
          </w:tcPr>
          <w:p>
            <w:pPr>
              <w:jc w:val="right"/>
            </w:pPr>
            <w:r>
              <w:rPr>
                <w:color w:val="333333"/>
                <w:sz w:val="19"/>
              </w:rPr>
              <w:t>1.5× – 3× Ingreso Neto ($484K)</w:t>
            </w:r>
          </w:p>
        </w:tc>
        <w:tc>
          <w:tcPr>
            <w:tcW w:type="dxa" w:w="1701"/>
            <w:shd w:val="clear" w:color="auto" w:fill="FFFFFF"/>
          </w:tcPr>
          <w:p>
            <w:pPr>
              <w:jc w:val="right"/>
            </w:pPr>
            <w:r>
              <w:rPr>
                <w:color w:val="333333"/>
                <w:sz w:val="19"/>
              </w:rPr>
              <w:t>$726,600</w:t>
            </w:r>
          </w:p>
        </w:tc>
        <w:tc>
          <w:tcPr>
            <w:tcW w:type="dxa" w:w="1701"/>
            <w:shd w:val="clear" w:color="auto" w:fill="FFFFFF"/>
          </w:tcPr>
          <w:p>
            <w:pPr>
              <w:jc w:val="right"/>
            </w:pPr>
            <w:r>
              <w:rPr>
                <w:color w:val="333333"/>
                <w:sz w:val="19"/>
              </w:rPr>
              <w:t>$1,090,350</w:t>
            </w:r>
          </w:p>
        </w:tc>
        <w:tc>
          <w:tcPr>
            <w:tcW w:type="dxa" w:w="1701"/>
            <w:shd w:val="clear" w:color="auto" w:fill="FFFFFF"/>
          </w:tcPr>
          <w:p>
            <w:pPr>
              <w:jc w:val="right"/>
            </w:pPr>
            <w:r>
              <w:rPr>
                <w:color w:val="333333"/>
                <w:sz w:val="19"/>
              </w:rPr>
              <w:t>$1,453,000</w:t>
            </w:r>
          </w:p>
        </w:tc>
      </w:tr>
      <w:tr>
        <w:tc>
          <w:tcPr>
            <w:tcW w:type="dxa" w:w="2551"/>
            <w:shd w:val="clear" w:color="auto" w:fill="F0F4FA"/>
          </w:tcPr>
          <w:p>
            <w:pPr>
              <w:jc w:val="left"/>
            </w:pPr>
            <w:r>
              <w:rPr>
                <w:b/>
                <w:color w:val="1A2C5B"/>
                <w:sz w:val="19"/>
              </w:rPr>
              <w:t>Reposición de Activos</w:t>
            </w:r>
          </w:p>
        </w:tc>
        <w:tc>
          <w:tcPr>
            <w:tcW w:type="dxa" w:w="3118"/>
            <w:shd w:val="clear" w:color="auto" w:fill="F0F4FA"/>
          </w:tcPr>
          <w:p>
            <w:pPr>
              <w:jc w:val="right"/>
            </w:pPr>
            <w:r>
              <w:rPr>
                <w:color w:val="333333"/>
                <w:sz w:val="19"/>
              </w:rPr>
              <w:t>Terreno + edificio + marca + IP</w:t>
            </w:r>
          </w:p>
        </w:tc>
        <w:tc>
          <w:tcPr>
            <w:tcW w:type="dxa" w:w="1701"/>
            <w:shd w:val="clear" w:color="auto" w:fill="F0F4FA"/>
          </w:tcPr>
          <w:p>
            <w:pPr>
              <w:jc w:val="right"/>
            </w:pPr>
            <w:r>
              <w:rPr>
                <w:color w:val="333333"/>
                <w:sz w:val="19"/>
              </w:rPr>
              <w:t>$800,000</w:t>
            </w:r>
          </w:p>
        </w:tc>
        <w:tc>
          <w:tcPr>
            <w:tcW w:type="dxa" w:w="1701"/>
            <w:shd w:val="clear" w:color="auto" w:fill="F0F4FA"/>
          </w:tcPr>
          <w:p>
            <w:pPr>
              <w:jc w:val="right"/>
            </w:pPr>
            <w:r>
              <w:rPr>
                <w:color w:val="333333"/>
                <w:sz w:val="19"/>
              </w:rPr>
              <w:t>$1,200,000</w:t>
            </w:r>
          </w:p>
        </w:tc>
        <w:tc>
          <w:tcPr>
            <w:tcW w:type="dxa" w:w="1701"/>
            <w:shd w:val="clear" w:color="auto" w:fill="F0F4FA"/>
          </w:tcPr>
          <w:p>
            <w:pPr>
              <w:jc w:val="right"/>
            </w:pPr>
            <w:r>
              <w:rPr>
                <w:color w:val="333333"/>
                <w:sz w:val="19"/>
              </w:rPr>
              <w:t>$1,600,000</w:t>
            </w:r>
          </w:p>
        </w:tc>
      </w:tr>
      <w:tr>
        <w:tc>
          <w:tcPr>
            <w:tcW w:type="dxa" w:w="2551"/>
            <w:shd w:val="clear" w:color="auto" w:fill="FFFFFF"/>
          </w:tcPr>
          <w:p>
            <w:pPr>
              <w:jc w:val="left"/>
            </w:pPr>
            <w:r>
              <w:rPr>
                <w:b/>
                <w:color w:val="1A2C5B"/>
                <w:sz w:val="19"/>
              </w:rPr>
              <w:t>RANGO RECOMENDADO</w:t>
            </w:r>
          </w:p>
        </w:tc>
        <w:tc>
          <w:tcPr>
            <w:tcW w:type="dxa" w:w="3118"/>
            <w:shd w:val="clear" w:color="auto" w:fill="FFFFFF"/>
          </w:tcPr>
          <w:p>
            <w:pPr>
              <w:jc w:val="right"/>
            </w:pPr>
            <w:r>
              <w:rPr>
                <w:color w:val="333333"/>
                <w:sz w:val="19"/>
              </w:rPr>
              <w:t>Enfoque combinado</w:t>
            </w:r>
          </w:p>
        </w:tc>
        <w:tc>
          <w:tcPr>
            <w:tcW w:type="dxa" w:w="1701"/>
            <w:shd w:val="clear" w:color="auto" w:fill="FFFFFF"/>
          </w:tcPr>
          <w:p>
            <w:pPr>
              <w:jc w:val="right"/>
            </w:pPr>
            <w:r>
              <w:rPr>
                <w:color w:val="333333"/>
                <w:sz w:val="19"/>
              </w:rPr>
              <w:t>$1,000,000</w:t>
            </w:r>
          </w:p>
        </w:tc>
        <w:tc>
          <w:tcPr>
            <w:tcW w:type="dxa" w:w="1701"/>
            <w:shd w:val="clear" w:color="auto" w:fill="FFFFFF"/>
          </w:tcPr>
          <w:p>
            <w:pPr>
              <w:jc w:val="right"/>
            </w:pPr>
            <w:r>
              <w:rPr>
                <w:color w:val="333333"/>
                <w:sz w:val="19"/>
              </w:rPr>
              <w:t>$1,300,000</w:t>
            </w:r>
          </w:p>
        </w:tc>
        <w:tc>
          <w:tcPr>
            <w:tcW w:type="dxa" w:w="1701"/>
            <w:shd w:val="clear" w:color="auto" w:fill="FFFFFF"/>
          </w:tcPr>
          <w:p>
            <w:pPr>
              <w:jc w:val="right"/>
            </w:pPr>
            <w:r>
              <w:rPr>
                <w:color w:val="333333"/>
                <w:sz w:val="19"/>
              </w:rPr>
              <w:t>$1,800,000</w:t>
            </w:r>
          </w:p>
        </w:tc>
      </w:tr>
    </w:tbl>
    <w:p>
      <w:pPr>
        <w:spacing w:after="40"/>
      </w:pPr>
    </w:p>
    <w:p>
      <w:pPr>
        <w:spacing w:before="200" w:after="60"/>
        <w:pBdr>
          <w:bottom w:val="single" w:sz="6" w:space="1" w:color="1A2C5B"/>
        </w:pBdr>
      </w:pPr>
      <w:r>
        <w:rPr>
          <w:b/>
          <w:color w:val="1A2C5B"/>
          <w:sz w:val="22"/>
        </w:rPr>
        <w:t>4.2  RETORNO SOBRE LA INVERSIÓN (ROI)</w:t>
      </w:r>
    </w:p>
    <w:p>
      <w:pPr>
        <w:spacing w:before="40" w:after="80"/>
      </w:pPr>
      <w:r>
        <w:rPr>
          <w:b w:val="0"/>
          <w:i w:val="0"/>
          <w:color w:val="444444"/>
          <w:sz w:val="21"/>
        </w:rPr>
        <w:t>Retornos proyectados bajo tres escenarios de precio, usando EBITDA Base de $111,165/año:</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2268"/>
            <w:shd w:val="clear" w:color="auto" w:fill="1A2C5B"/>
          </w:tcPr>
          <w:p>
            <w:pPr>
              <w:jc w:val="center"/>
            </w:pPr>
            <w:r>
              <w:rPr>
                <w:b/>
                <w:color w:val="FFFFFF"/>
                <w:sz w:val="19"/>
              </w:rPr>
              <w:t>Precio de Adquisición</w:t>
            </w:r>
          </w:p>
        </w:tc>
        <w:tc>
          <w:tcPr>
            <w:tcW w:type="dxa" w:w="1984"/>
            <w:shd w:val="clear" w:color="auto" w:fill="1A2C5B"/>
          </w:tcPr>
          <w:p>
            <w:pPr>
              <w:jc w:val="center"/>
            </w:pPr>
            <w:r>
              <w:rPr>
                <w:b/>
                <w:color w:val="FFFFFF"/>
                <w:sz w:val="19"/>
              </w:rPr>
              <w:t>EBITDA Anual</w:t>
            </w:r>
          </w:p>
        </w:tc>
        <w:tc>
          <w:tcPr>
            <w:tcW w:type="dxa" w:w="1984"/>
            <w:shd w:val="clear" w:color="auto" w:fill="1A2C5B"/>
          </w:tcPr>
          <w:p>
            <w:pPr>
              <w:jc w:val="center"/>
            </w:pPr>
            <w:r>
              <w:rPr>
                <w:b/>
                <w:color w:val="FFFFFF"/>
                <w:sz w:val="19"/>
              </w:rPr>
              <w:t>ROI Flujo de Caja</w:t>
            </w:r>
          </w:p>
        </w:tc>
        <w:tc>
          <w:tcPr>
            <w:tcW w:type="dxa" w:w="1984"/>
            <w:shd w:val="clear" w:color="auto" w:fill="1A2C5B"/>
          </w:tcPr>
          <w:p>
            <w:pPr>
              <w:jc w:val="center"/>
            </w:pPr>
            <w:r>
              <w:rPr>
                <w:b/>
                <w:color w:val="FFFFFF"/>
                <w:sz w:val="19"/>
              </w:rPr>
              <w:t>Período Recuperación</w:t>
            </w:r>
          </w:p>
        </w:tc>
        <w:tc>
          <w:tcPr>
            <w:tcW w:type="dxa" w:w="2551"/>
            <w:shd w:val="clear" w:color="auto" w:fill="1A2C5B"/>
          </w:tcPr>
          <w:p>
            <w:pPr>
              <w:jc w:val="center"/>
            </w:pPr>
            <w:r>
              <w:rPr>
                <w:b/>
                <w:color w:val="FFFFFF"/>
                <w:sz w:val="19"/>
              </w:rPr>
              <w:t>Retorno Total a 10 años</w:t>
            </w:r>
          </w:p>
        </w:tc>
      </w:tr>
      <w:tr>
        <w:tc>
          <w:tcPr>
            <w:tcW w:type="dxa" w:w="2268"/>
            <w:shd w:val="clear" w:color="auto" w:fill="F0F4FA"/>
          </w:tcPr>
          <w:p>
            <w:pPr>
              <w:jc w:val="left"/>
            </w:pPr>
            <w:r>
              <w:rPr>
                <w:b/>
                <w:color w:val="1A2C5B"/>
                <w:sz w:val="19"/>
              </w:rPr>
              <w:t>$1,000,000</w:t>
            </w:r>
          </w:p>
        </w:tc>
        <w:tc>
          <w:tcPr>
            <w:tcW w:type="dxa" w:w="1984"/>
            <w:shd w:val="clear" w:color="auto" w:fill="F0F4FA"/>
          </w:tcPr>
          <w:p>
            <w:pPr>
              <w:jc w:val="right"/>
            </w:pPr>
            <w:r>
              <w:rPr>
                <w:color w:val="333333"/>
                <w:sz w:val="19"/>
              </w:rPr>
              <w:t>$111,165</w:t>
            </w:r>
          </w:p>
        </w:tc>
        <w:tc>
          <w:tcPr>
            <w:tcW w:type="dxa" w:w="1984"/>
            <w:shd w:val="clear" w:color="auto" w:fill="F0F4FA"/>
          </w:tcPr>
          <w:p>
            <w:pPr>
              <w:jc w:val="right"/>
            </w:pPr>
            <w:r>
              <w:rPr>
                <w:color w:val="333333"/>
                <w:sz w:val="19"/>
              </w:rPr>
              <w:t>11.1%</w:t>
            </w:r>
          </w:p>
        </w:tc>
        <w:tc>
          <w:tcPr>
            <w:tcW w:type="dxa" w:w="1984"/>
            <w:shd w:val="clear" w:color="auto" w:fill="F0F4FA"/>
          </w:tcPr>
          <w:p>
            <w:pPr>
              <w:jc w:val="right"/>
            </w:pPr>
            <w:r>
              <w:rPr>
                <w:color w:val="333333"/>
                <w:sz w:val="19"/>
              </w:rPr>
              <w:t>9.0 años</w:t>
            </w:r>
          </w:p>
        </w:tc>
        <w:tc>
          <w:tcPr>
            <w:tcW w:type="dxa" w:w="2551"/>
            <w:shd w:val="clear" w:color="auto" w:fill="F0F4FA"/>
          </w:tcPr>
          <w:p>
            <w:pPr>
              <w:jc w:val="right"/>
            </w:pPr>
            <w:r>
              <w:rPr>
                <w:color w:val="333333"/>
                <w:sz w:val="19"/>
              </w:rPr>
              <w:t>$1,111,650</w:t>
            </w:r>
          </w:p>
        </w:tc>
      </w:tr>
      <w:tr>
        <w:tc>
          <w:tcPr>
            <w:tcW w:type="dxa" w:w="2268"/>
            <w:shd w:val="clear" w:color="auto" w:fill="FFFFFF"/>
          </w:tcPr>
          <w:p>
            <w:pPr>
              <w:jc w:val="left"/>
            </w:pPr>
            <w:r>
              <w:rPr>
                <w:b/>
                <w:color w:val="1A2C5B"/>
                <w:sz w:val="19"/>
              </w:rPr>
              <w:t>$1,300,000</w:t>
            </w:r>
          </w:p>
        </w:tc>
        <w:tc>
          <w:tcPr>
            <w:tcW w:type="dxa" w:w="1984"/>
            <w:shd w:val="clear" w:color="auto" w:fill="FFFFFF"/>
          </w:tcPr>
          <w:p>
            <w:pPr>
              <w:jc w:val="right"/>
            </w:pPr>
            <w:r>
              <w:rPr>
                <w:color w:val="333333"/>
                <w:sz w:val="19"/>
              </w:rPr>
              <w:t>$111,165</w:t>
            </w:r>
          </w:p>
        </w:tc>
        <w:tc>
          <w:tcPr>
            <w:tcW w:type="dxa" w:w="1984"/>
            <w:shd w:val="clear" w:color="auto" w:fill="FFFFFF"/>
          </w:tcPr>
          <w:p>
            <w:pPr>
              <w:jc w:val="right"/>
            </w:pPr>
            <w:r>
              <w:rPr>
                <w:color w:val="333333"/>
                <w:sz w:val="19"/>
              </w:rPr>
              <w:t>8.6%</w:t>
            </w:r>
          </w:p>
        </w:tc>
        <w:tc>
          <w:tcPr>
            <w:tcW w:type="dxa" w:w="1984"/>
            <w:shd w:val="clear" w:color="auto" w:fill="FFFFFF"/>
          </w:tcPr>
          <w:p>
            <w:pPr>
              <w:jc w:val="right"/>
            </w:pPr>
            <w:r>
              <w:rPr>
                <w:color w:val="333333"/>
                <w:sz w:val="19"/>
              </w:rPr>
              <w:t>11.7 años</w:t>
            </w:r>
          </w:p>
        </w:tc>
        <w:tc>
          <w:tcPr>
            <w:tcW w:type="dxa" w:w="2551"/>
            <w:shd w:val="clear" w:color="auto" w:fill="FFFFFF"/>
          </w:tcPr>
          <w:p>
            <w:pPr>
              <w:jc w:val="right"/>
            </w:pPr>
            <w:r>
              <w:rPr>
                <w:color w:val="333333"/>
                <w:sz w:val="19"/>
              </w:rPr>
              <w:t>$1,111,650</w:t>
            </w:r>
          </w:p>
        </w:tc>
      </w:tr>
      <w:tr>
        <w:tc>
          <w:tcPr>
            <w:tcW w:type="dxa" w:w="2268"/>
            <w:shd w:val="clear" w:color="auto" w:fill="F0F4FA"/>
          </w:tcPr>
          <w:p>
            <w:pPr>
              <w:jc w:val="left"/>
            </w:pPr>
            <w:r>
              <w:rPr>
                <w:b/>
                <w:color w:val="1A2C5B"/>
                <w:sz w:val="19"/>
              </w:rPr>
              <w:t>$1,500,000</w:t>
            </w:r>
          </w:p>
        </w:tc>
        <w:tc>
          <w:tcPr>
            <w:tcW w:type="dxa" w:w="1984"/>
            <w:shd w:val="clear" w:color="auto" w:fill="F0F4FA"/>
          </w:tcPr>
          <w:p>
            <w:pPr>
              <w:jc w:val="right"/>
            </w:pPr>
            <w:r>
              <w:rPr>
                <w:color w:val="333333"/>
                <w:sz w:val="19"/>
              </w:rPr>
              <w:t>$111,165</w:t>
            </w:r>
          </w:p>
        </w:tc>
        <w:tc>
          <w:tcPr>
            <w:tcW w:type="dxa" w:w="1984"/>
            <w:shd w:val="clear" w:color="auto" w:fill="F0F4FA"/>
          </w:tcPr>
          <w:p>
            <w:pPr>
              <w:jc w:val="right"/>
            </w:pPr>
            <w:r>
              <w:rPr>
                <w:color w:val="333333"/>
                <w:sz w:val="19"/>
              </w:rPr>
              <w:t>7.4%</w:t>
            </w:r>
          </w:p>
        </w:tc>
        <w:tc>
          <w:tcPr>
            <w:tcW w:type="dxa" w:w="1984"/>
            <w:shd w:val="clear" w:color="auto" w:fill="F0F4FA"/>
          </w:tcPr>
          <w:p>
            <w:pPr>
              <w:jc w:val="right"/>
            </w:pPr>
            <w:r>
              <w:rPr>
                <w:color w:val="333333"/>
                <w:sz w:val="19"/>
              </w:rPr>
              <w:t>13.5 años</w:t>
            </w:r>
          </w:p>
        </w:tc>
        <w:tc>
          <w:tcPr>
            <w:tcW w:type="dxa" w:w="2551"/>
            <w:shd w:val="clear" w:color="auto" w:fill="F0F4FA"/>
          </w:tcPr>
          <w:p>
            <w:pPr>
              <w:jc w:val="right"/>
            </w:pPr>
            <w:r>
              <w:rPr>
                <w:color w:val="333333"/>
                <w:sz w:val="19"/>
              </w:rPr>
              <w:t>$1,111,650</w:t>
            </w:r>
          </w:p>
        </w:tc>
      </w:tr>
      <w:tr>
        <w:tc>
          <w:tcPr>
            <w:tcW w:type="dxa" w:w="2268"/>
            <w:shd w:val="clear" w:color="auto" w:fill="FFFFFF"/>
          </w:tcPr>
          <w:p>
            <w:pPr>
              <w:jc w:val="left"/>
            </w:pPr>
            <w:r>
              <w:rPr>
                <w:b/>
                <w:color w:val="1A2C5B"/>
                <w:sz w:val="19"/>
              </w:rPr>
              <w:t>$1,000,000*</w:t>
            </w:r>
          </w:p>
        </w:tc>
        <w:tc>
          <w:tcPr>
            <w:tcW w:type="dxa" w:w="1984"/>
            <w:shd w:val="clear" w:color="auto" w:fill="FFFFFF"/>
          </w:tcPr>
          <w:p>
            <w:pPr>
              <w:jc w:val="right"/>
            </w:pPr>
            <w:r>
              <w:rPr>
                <w:color w:val="333333"/>
                <w:sz w:val="19"/>
              </w:rPr>
              <w:t>$171,387*</w:t>
            </w:r>
          </w:p>
        </w:tc>
        <w:tc>
          <w:tcPr>
            <w:tcW w:type="dxa" w:w="1984"/>
            <w:shd w:val="clear" w:color="auto" w:fill="FFFFFF"/>
          </w:tcPr>
          <w:p>
            <w:pPr>
              <w:jc w:val="right"/>
            </w:pPr>
            <w:r>
              <w:rPr>
                <w:color w:val="333333"/>
                <w:sz w:val="19"/>
              </w:rPr>
              <w:t>17.1%*</w:t>
            </w:r>
          </w:p>
        </w:tc>
        <w:tc>
          <w:tcPr>
            <w:tcW w:type="dxa" w:w="1984"/>
            <w:shd w:val="clear" w:color="auto" w:fill="FFFFFF"/>
          </w:tcPr>
          <w:p>
            <w:pPr>
              <w:jc w:val="right"/>
            </w:pPr>
            <w:r>
              <w:rPr>
                <w:color w:val="333333"/>
                <w:sz w:val="19"/>
              </w:rPr>
              <w:t>5.8 años*</w:t>
            </w:r>
          </w:p>
        </w:tc>
        <w:tc>
          <w:tcPr>
            <w:tcW w:type="dxa" w:w="2551"/>
            <w:shd w:val="clear" w:color="auto" w:fill="FFFFFF"/>
          </w:tcPr>
          <w:p>
            <w:pPr>
              <w:jc w:val="right"/>
            </w:pPr>
            <w:r>
              <w:rPr>
                <w:color w:val="333333"/>
                <w:sz w:val="19"/>
              </w:rPr>
              <w:t>$1,713,870*</w:t>
            </w:r>
          </w:p>
        </w:tc>
      </w:tr>
    </w:tbl>
    <w:p>
      <w:pPr>
        <w:spacing w:after="40"/>
      </w:pPr>
    </w:p>
    <w:p>
      <w:pPr>
        <w:spacing w:before="40" w:after="80"/>
      </w:pPr>
      <w:r>
        <w:rPr>
          <w:b w:val="0"/>
          <w:i/>
          <w:color w:val="444444"/>
          <w:sz w:val="21"/>
        </w:rPr>
        <w:t>* Escenario optimista: +10% de matrícula (207 → 228 alumnos) — alcanzable en 2 años.</w:t>
      </w:r>
    </w:p>
    <w:p>
      <w:pPr>
        <w:spacing w:before="200" w:after="60"/>
        <w:pBdr>
          <w:bottom w:val="single" w:sz="6" w:space="1" w:color="1A2C5B"/>
        </w:pBdr>
      </w:pPr>
      <w:r>
        <w:rPr>
          <w:b/>
          <w:color w:val="1A2C5B"/>
          <w:sz w:val="22"/>
        </w:rPr>
        <w:t>4.3  PALANCAS DE CREACIÓN DE VALOR</w:t>
      </w:r>
    </w:p>
    <w:p>
      <w:pPr>
        <w:spacing w:before="40" w:after="80"/>
      </w:pPr>
      <w:r>
        <w:rPr>
          <w:b w:val="0"/>
          <w:i w:val="0"/>
          <w:color w:val="444444"/>
          <w:sz w:val="21"/>
        </w:rPr>
        <w:t>Factores post-adquisición que pueden mejorar sustancialmente el ROI:</w:t>
      </w:r>
    </w:p>
    <w:p>
      <w:pPr>
        <w:pStyle w:val="ListBullet"/>
        <w:spacing w:before="20" w:after="40"/>
        <w:ind w:left="432"/>
      </w:pPr>
      <w:r>
        <w:rPr>
          <w:color w:val="444444"/>
          <w:sz w:val="21"/>
        </w:rPr>
        <w:t>Crecimiento de matrícula — cada 10 alumnos adicionales agrega ≈ $26,265/año en ingresos</w:t>
      </w:r>
    </w:p>
    <w:p>
      <w:pPr>
        <w:pStyle w:val="ListBullet"/>
        <w:spacing w:before="20" w:after="40"/>
        <w:ind w:left="432"/>
      </w:pPr>
      <w:r>
        <w:rPr>
          <w:color w:val="444444"/>
          <w:sz w:val="21"/>
        </w:rPr>
        <w:t>Ajuste anual de mensualidades — incrementos del 5–10% anuales alinean con la inflación y el mercado</w:t>
      </w:r>
    </w:p>
    <w:p>
      <w:pPr>
        <w:pStyle w:val="ListBullet"/>
        <w:spacing w:before="20" w:after="40"/>
        <w:ind w:left="432"/>
      </w:pPr>
      <w:r>
        <w:rPr>
          <w:color w:val="444444"/>
          <w:sz w:val="21"/>
        </w:rPr>
        <w:t>Cobertura de vacantes — 13 posiciones de bachillerato presupuestadas pero sin cubrir</w:t>
      </w:r>
    </w:p>
    <w:p>
      <w:pPr>
        <w:pStyle w:val="ListBullet"/>
        <w:spacing w:before="20" w:after="40"/>
        <w:ind w:left="432"/>
      </w:pPr>
      <w:r>
        <w:rPr>
          <w:color w:val="444444"/>
          <w:sz w:val="21"/>
        </w:rPr>
        <w:t>Servicios de comedor y guardería extendida — fuentes de ingresos no explotadas</w:t>
      </w:r>
    </w:p>
    <w:p>
      <w:pPr>
        <w:pStyle w:val="ListBullet"/>
        <w:spacing w:before="20" w:after="40"/>
        <w:ind w:left="432"/>
      </w:pPr>
      <w:r>
        <w:rPr>
          <w:color w:val="444444"/>
          <w:sz w:val="21"/>
        </w:rPr>
        <w:t>Programas de subsidio gubernamental — aportes MPPE por alumno disponibles</w:t>
      </w:r>
    </w:p>
    <w:p>
      <w:pPr>
        <w:pStyle w:val="ListBullet"/>
        <w:spacing w:before="20" w:after="40"/>
        <w:ind w:left="432"/>
      </w:pPr>
      <w:r>
        <w:rPr>
          <w:color w:val="444444"/>
          <w:sz w:val="21"/>
        </w:rPr>
        <w:t>Valorización inmobiliaria — el activo de terreno/edificio en El Tigre</w:t>
      </w:r>
    </w:p>
    <w:p>
      <w:pPr>
        <w:pStyle w:val="ListBullet"/>
        <w:spacing w:before="20" w:after="40"/>
        <w:ind w:left="432"/>
      </w:pPr>
      <w:r>
        <w:rPr>
          <w:color w:val="444444"/>
          <w:sz w:val="21"/>
        </w:rPr>
        <w:t>ROI de transformación digital — ERP Odoo + agente IA ya desplegados (costo hundido)</w:t>
      </w:r>
    </w:p>
    <w:p>
      <w:r>
        <w:br w:type="page"/>
      </w:r>
    </w:p>
    <w:tbl>
      <w:tblPr>
        <w:tblW w:type="auto" w:w="0"/>
        <w:jc w:val="center"/>
        <w:tblLook w:firstColumn="1" w:firstRow="1" w:lastColumn="0" w:lastRow="0" w:noHBand="0" w:noVBand="1" w:val="04A0"/>
      </w:tblPr>
      <w:tblGrid>
        <w:gridCol w:w="9066"/>
      </w:tblGrid>
      <w:tr>
        <w:tc>
          <w:tcPr>
            <w:tcW w:type="dxa" w:w="9066"/>
            <w:shd w:val="clear" w:color="auto" w:fill="1A2C5B"/>
            <w:tcMar>
              <w:top w:w="100" w:type="dxa"/>
              <w:bottom w:w="100" w:type="dxa"/>
              <w:left w:w="100" w:type="dxa"/>
              <w:right w:w="100" w:type="dxa"/>
            </w:tcMar>
          </w:tcPr>
          <w:p>
            <w:pPr>
              <w:spacing w:before="40" w:after="40"/>
              <w:jc w:val="center"/>
            </w:pPr>
            <w:r>
              <w:rPr>
                <w:b/>
                <w:color w:val="FFFFFF"/>
                <w:sz w:val="30"/>
              </w:rPr>
              <w:t>5 · EQUIPO DIRECTIVO Y PLAN DE TRANSICIÓN</w:t>
            </w:r>
          </w:p>
        </w:tc>
      </w:tr>
    </w:tbl>
    <w:p>
      <w:pPr>
        <w:spacing w:after="40"/>
      </w:pPr>
    </w:p>
    <w:p>
      <w:pPr>
        <w:spacing w:before="200" w:after="60"/>
        <w:pBdr>
          <w:bottom w:val="single" w:sz="6" w:space="1" w:color="1A2C5B"/>
        </w:pBdr>
      </w:pPr>
      <w:r>
        <w:rPr>
          <w:b/>
          <w:color w:val="1A2C5B"/>
          <w:sz w:val="22"/>
        </w:rPr>
        <w:t>5.1  ESTRUCTURA DE LIDERAZGO PROPUESTA</w:t>
      </w:r>
    </w:p>
    <w:p>
      <w:pPr>
        <w:spacing w:before="40" w:after="80"/>
      </w:pPr>
      <w:r>
        <w:rPr>
          <w:b w:val="0"/>
          <w:i w:val="0"/>
          <w:color w:val="444444"/>
          <w:sz w:val="21"/>
        </w:rPr>
        <w:t>Una condición fundamental de esta transacción es la retención del director/a ejecutivo/a actual como CEO post-adquisición. Este arreglo protege el activo del inversor al mantener la continuidad operativa, las relaciones comunitarias y el cumplimiento regulatorio durante y después de la transición.</w:t>
      </w:r>
    </w:p>
    <w:tbl>
      <w:tblPr>
        <w:tblStyle w:val="TableGrid"/>
        <w:tblW w:type="auto" w:w="0"/>
        <w:tblLook w:firstColumn="1" w:firstRow="1" w:lastColumn="0" w:lastRow="0" w:noHBand="0" w:noVBand="1" w:val="04A0"/>
      </w:tblPr>
      <w:tblGrid>
        <w:gridCol w:w="2266"/>
        <w:gridCol w:w="2266"/>
        <w:gridCol w:w="2266"/>
        <w:gridCol w:w="2266"/>
      </w:tblGrid>
      <w:tr>
        <w:tc>
          <w:tcPr>
            <w:tcW w:type="dxa" w:w="2551"/>
            <w:shd w:val="clear" w:color="auto" w:fill="1A2C5B"/>
          </w:tcPr>
          <w:p>
            <w:pPr>
              <w:jc w:val="center"/>
            </w:pPr>
            <w:r>
              <w:rPr>
                <w:b/>
                <w:color w:val="FFFFFF"/>
                <w:sz w:val="19"/>
              </w:rPr>
              <w:t>Cargo</w:t>
            </w:r>
          </w:p>
        </w:tc>
        <w:tc>
          <w:tcPr>
            <w:tcW w:type="dxa" w:w="2268"/>
            <w:shd w:val="clear" w:color="auto" w:fill="1A2C5B"/>
          </w:tcPr>
          <w:p>
            <w:pPr>
              <w:jc w:val="center"/>
            </w:pPr>
            <w:r>
              <w:rPr>
                <w:b/>
                <w:color w:val="FFFFFF"/>
                <w:sz w:val="19"/>
              </w:rPr>
              <w:t>Estado</w:t>
            </w:r>
          </w:p>
        </w:tc>
        <w:tc>
          <w:tcPr>
            <w:tcW w:type="dxa" w:w="1984"/>
            <w:shd w:val="clear" w:color="auto" w:fill="1A2C5B"/>
          </w:tcPr>
          <w:p>
            <w:pPr>
              <w:jc w:val="center"/>
            </w:pPr>
            <w:r>
              <w:rPr>
                <w:b/>
                <w:color w:val="FFFFFF"/>
                <w:sz w:val="19"/>
              </w:rPr>
              <w:t>Compensación Mensual</w:t>
            </w:r>
          </w:p>
        </w:tc>
        <w:tc>
          <w:tcPr>
            <w:tcW w:type="dxa" w:w="3969"/>
            <w:shd w:val="clear" w:color="auto" w:fill="1A2C5B"/>
          </w:tcPr>
          <w:p>
            <w:pPr>
              <w:jc w:val="center"/>
            </w:pPr>
            <w:r>
              <w:rPr>
                <w:b/>
                <w:color w:val="FFFFFF"/>
                <w:sz w:val="19"/>
              </w:rPr>
              <w:t>Responsabilidades Clave</w:t>
            </w:r>
          </w:p>
        </w:tc>
      </w:tr>
      <w:tr>
        <w:tc>
          <w:tcPr>
            <w:tcW w:type="dxa" w:w="2551"/>
            <w:shd w:val="clear" w:color="auto" w:fill="F0F4FA"/>
          </w:tcPr>
          <w:p>
            <w:pPr>
              <w:jc w:val="left"/>
            </w:pPr>
            <w:r>
              <w:rPr>
                <w:b/>
                <w:color w:val="1A2C5B"/>
                <w:sz w:val="19"/>
              </w:rPr>
              <w:t>CEO / Director/a Ejecutivo/a</w:t>
            </w:r>
          </w:p>
        </w:tc>
        <w:tc>
          <w:tcPr>
            <w:tcW w:type="dxa" w:w="2268"/>
            <w:shd w:val="clear" w:color="auto" w:fill="F0F4FA"/>
          </w:tcPr>
          <w:p>
            <w:pPr>
              <w:jc w:val="right"/>
            </w:pPr>
            <w:r>
              <w:rPr>
                <w:color w:val="333333"/>
                <w:sz w:val="19"/>
              </w:rPr>
              <w:t>Retenido/a — Contrato de Empleo</w:t>
            </w:r>
          </w:p>
        </w:tc>
        <w:tc>
          <w:tcPr>
            <w:tcW w:type="dxa" w:w="1984"/>
            <w:shd w:val="clear" w:color="auto" w:fill="F0F4FA"/>
          </w:tcPr>
          <w:p>
            <w:pPr>
              <w:jc w:val="right"/>
            </w:pPr>
            <w:r>
              <w:rPr>
                <w:color w:val="333333"/>
                <w:sz w:val="19"/>
              </w:rPr>
              <w:t>USD 4,500</w:t>
            </w:r>
          </w:p>
        </w:tc>
        <w:tc>
          <w:tcPr>
            <w:tcW w:type="dxa" w:w="3969"/>
            <w:shd w:val="clear" w:color="auto" w:fill="F0F4FA"/>
          </w:tcPr>
          <w:p>
            <w:pPr>
              <w:jc w:val="right"/>
            </w:pPr>
            <w:r>
              <w:rPr>
                <w:color w:val="333333"/>
                <w:sz w:val="19"/>
              </w:rPr>
              <w:t>Estrategia, relaciones MPPE, P&amp;L, gestión de personal</w:t>
            </w:r>
          </w:p>
        </w:tc>
      </w:tr>
      <w:tr>
        <w:tc>
          <w:tcPr>
            <w:tcW w:type="dxa" w:w="2551"/>
            <w:shd w:val="clear" w:color="auto" w:fill="FFFFFF"/>
          </w:tcPr>
          <w:p>
            <w:pPr>
              <w:jc w:val="left"/>
            </w:pPr>
            <w:r>
              <w:rPr>
                <w:b/>
                <w:color w:val="1A2C5B"/>
                <w:sz w:val="19"/>
              </w:rPr>
              <w:t>Coordinador/a Académico/a</w:t>
            </w:r>
          </w:p>
        </w:tc>
        <w:tc>
          <w:tcPr>
            <w:tcW w:type="dxa" w:w="2268"/>
            <w:shd w:val="clear" w:color="auto" w:fill="FFFFFF"/>
          </w:tcPr>
          <w:p>
            <w:pPr>
              <w:jc w:val="right"/>
            </w:pPr>
            <w:r>
              <w:rPr>
                <w:color w:val="333333"/>
                <w:sz w:val="19"/>
              </w:rPr>
              <w:t>Personal existente — retenido</w:t>
            </w:r>
          </w:p>
        </w:tc>
        <w:tc>
          <w:tcPr>
            <w:tcW w:type="dxa" w:w="1984"/>
            <w:shd w:val="clear" w:color="auto" w:fill="FFFFFF"/>
          </w:tcPr>
          <w:p>
            <w:pPr>
              <w:jc w:val="right"/>
            </w:pPr>
            <w:r>
              <w:rPr>
                <w:color w:val="333333"/>
                <w:sz w:val="19"/>
              </w:rPr>
              <w:t>Contrato vigente</w:t>
            </w:r>
          </w:p>
        </w:tc>
        <w:tc>
          <w:tcPr>
            <w:tcW w:type="dxa" w:w="3969"/>
            <w:shd w:val="clear" w:color="auto" w:fill="FFFFFF"/>
          </w:tcPr>
          <w:p>
            <w:pPr>
              <w:jc w:val="right"/>
            </w:pPr>
            <w:r>
              <w:rPr>
                <w:color w:val="333333"/>
                <w:sz w:val="19"/>
              </w:rPr>
              <w:t>Currículo, supervisión docente</w:t>
            </w:r>
          </w:p>
        </w:tc>
      </w:tr>
      <w:tr>
        <w:tc>
          <w:tcPr>
            <w:tcW w:type="dxa" w:w="2551"/>
            <w:shd w:val="clear" w:color="auto" w:fill="F0F4FA"/>
          </w:tcPr>
          <w:p>
            <w:pPr>
              <w:jc w:val="left"/>
            </w:pPr>
            <w:r>
              <w:rPr>
                <w:b/>
                <w:color w:val="1A2C5B"/>
                <w:sz w:val="19"/>
              </w:rPr>
              <w:t>Director/a Administrativo/a</w:t>
            </w:r>
          </w:p>
        </w:tc>
        <w:tc>
          <w:tcPr>
            <w:tcW w:type="dxa" w:w="2268"/>
            <w:shd w:val="clear" w:color="auto" w:fill="F0F4FA"/>
          </w:tcPr>
          <w:p>
            <w:pPr>
              <w:jc w:val="right"/>
            </w:pPr>
            <w:r>
              <w:rPr>
                <w:color w:val="333333"/>
                <w:sz w:val="19"/>
              </w:rPr>
              <w:t>Personal existente — retenido</w:t>
            </w:r>
          </w:p>
        </w:tc>
        <w:tc>
          <w:tcPr>
            <w:tcW w:type="dxa" w:w="1984"/>
            <w:shd w:val="clear" w:color="auto" w:fill="F0F4FA"/>
          </w:tcPr>
          <w:p>
            <w:pPr>
              <w:jc w:val="right"/>
            </w:pPr>
            <w:r>
              <w:rPr>
                <w:color w:val="333333"/>
                <w:sz w:val="19"/>
              </w:rPr>
              <w:t>Contrato vigente</w:t>
            </w:r>
          </w:p>
        </w:tc>
        <w:tc>
          <w:tcPr>
            <w:tcW w:type="dxa" w:w="3969"/>
            <w:shd w:val="clear" w:color="auto" w:fill="F0F4FA"/>
          </w:tcPr>
          <w:p>
            <w:pPr>
              <w:jc w:val="right"/>
            </w:pPr>
            <w:r>
              <w:rPr>
                <w:color w:val="333333"/>
                <w:sz w:val="19"/>
              </w:rPr>
              <w:t>Finanzas, facturación, RRHH, ERP</w:t>
            </w:r>
          </w:p>
        </w:tc>
      </w:tr>
      <w:tr>
        <w:tc>
          <w:tcPr>
            <w:tcW w:type="dxa" w:w="2551"/>
            <w:shd w:val="clear" w:color="auto" w:fill="FFFFFF"/>
          </w:tcPr>
          <w:p>
            <w:pPr>
              <w:jc w:val="left"/>
            </w:pPr>
            <w:r>
              <w:rPr>
                <w:b/>
                <w:color w:val="1A2C5B"/>
                <w:sz w:val="19"/>
              </w:rPr>
              <w:t>Jefe de Bachillerato</w:t>
            </w:r>
          </w:p>
        </w:tc>
        <w:tc>
          <w:tcPr>
            <w:tcW w:type="dxa" w:w="2268"/>
            <w:shd w:val="clear" w:color="auto" w:fill="FFFFFF"/>
          </w:tcPr>
          <w:p>
            <w:pPr>
              <w:jc w:val="right"/>
            </w:pPr>
            <w:r>
              <w:rPr>
                <w:color w:val="333333"/>
                <w:sz w:val="19"/>
              </w:rPr>
              <w:t>Personal existente — retenido</w:t>
            </w:r>
          </w:p>
        </w:tc>
        <w:tc>
          <w:tcPr>
            <w:tcW w:type="dxa" w:w="1984"/>
            <w:shd w:val="clear" w:color="auto" w:fill="FFFFFF"/>
          </w:tcPr>
          <w:p>
            <w:pPr>
              <w:jc w:val="right"/>
            </w:pPr>
            <w:r>
              <w:rPr>
                <w:color w:val="333333"/>
                <w:sz w:val="19"/>
              </w:rPr>
              <w:t>Contrato vigente</w:t>
            </w:r>
          </w:p>
        </w:tc>
        <w:tc>
          <w:tcPr>
            <w:tcW w:type="dxa" w:w="3969"/>
            <w:shd w:val="clear" w:color="auto" w:fill="FFFFFF"/>
          </w:tcPr>
          <w:p>
            <w:pPr>
              <w:jc w:val="right"/>
            </w:pPr>
            <w:r>
              <w:rPr>
                <w:color w:val="333333"/>
                <w:sz w:val="19"/>
              </w:rPr>
              <w:t>Gestión académica niveles C-D</w:t>
            </w:r>
          </w:p>
        </w:tc>
      </w:tr>
      <w:tr>
        <w:tc>
          <w:tcPr>
            <w:tcW w:type="dxa" w:w="2551"/>
            <w:shd w:val="clear" w:color="auto" w:fill="F0F4FA"/>
          </w:tcPr>
          <w:p>
            <w:pPr>
              <w:jc w:val="left"/>
            </w:pPr>
            <w:r>
              <w:rPr>
                <w:b/>
                <w:color w:val="1A2C5B"/>
                <w:sz w:val="19"/>
              </w:rPr>
              <w:t>Jefe de Inicial/Primaria</w:t>
            </w:r>
          </w:p>
        </w:tc>
        <w:tc>
          <w:tcPr>
            <w:tcW w:type="dxa" w:w="2268"/>
            <w:shd w:val="clear" w:color="auto" w:fill="F0F4FA"/>
          </w:tcPr>
          <w:p>
            <w:pPr>
              <w:jc w:val="right"/>
            </w:pPr>
            <w:r>
              <w:rPr>
                <w:color w:val="333333"/>
                <w:sz w:val="19"/>
              </w:rPr>
              <w:t>Personal existente — retenido</w:t>
            </w:r>
          </w:p>
        </w:tc>
        <w:tc>
          <w:tcPr>
            <w:tcW w:type="dxa" w:w="1984"/>
            <w:shd w:val="clear" w:color="auto" w:fill="F0F4FA"/>
          </w:tcPr>
          <w:p>
            <w:pPr>
              <w:jc w:val="right"/>
            </w:pPr>
            <w:r>
              <w:rPr>
                <w:color w:val="333333"/>
                <w:sz w:val="19"/>
              </w:rPr>
              <w:t>Contrato vigente</w:t>
            </w:r>
          </w:p>
        </w:tc>
        <w:tc>
          <w:tcPr>
            <w:tcW w:type="dxa" w:w="3969"/>
            <w:shd w:val="clear" w:color="auto" w:fill="F0F4FA"/>
          </w:tcPr>
          <w:p>
            <w:pPr>
              <w:jc w:val="right"/>
            </w:pPr>
            <w:r>
              <w:rPr>
                <w:color w:val="333333"/>
                <w:sz w:val="19"/>
              </w:rPr>
              <w:t>Gestión académica niveles A-B</w:t>
            </w:r>
          </w:p>
        </w:tc>
      </w:tr>
    </w:tbl>
    <w:p>
      <w:pPr>
        <w:spacing w:after="40"/>
      </w:pPr>
    </w:p>
    <w:p>
      <w:pPr>
        <w:spacing w:before="200" w:after="60"/>
        <w:pBdr>
          <w:bottom w:val="single" w:sz="6" w:space="1" w:color="1A2C5B"/>
        </w:pBdr>
      </w:pPr>
      <w:r>
        <w:rPr>
          <w:b/>
          <w:color w:val="1A2C5B"/>
          <w:sz w:val="22"/>
        </w:rPr>
        <w:t>5.2  CRONOGRAMA DE TRANSICIÓN</w:t>
      </w:r>
    </w:p>
    <w:tbl>
      <w:tblPr>
        <w:tblStyle w:val="TableGrid"/>
        <w:tblW w:type="auto" w:w="0"/>
        <w:tblLook w:firstColumn="1" w:firstRow="1" w:lastColumn="0" w:lastRow="0" w:noHBand="0" w:noVBand="1" w:val="04A0"/>
      </w:tblPr>
      <w:tblGrid>
        <w:gridCol w:w="3022"/>
        <w:gridCol w:w="3022"/>
        <w:gridCol w:w="3022"/>
      </w:tblGrid>
      <w:tr>
        <w:tc>
          <w:tcPr>
            <w:tcW w:type="dxa" w:w="2268"/>
            <w:shd w:val="clear" w:color="auto" w:fill="1A2C5B"/>
          </w:tcPr>
          <w:p>
            <w:pPr>
              <w:jc w:val="center"/>
            </w:pPr>
            <w:r>
              <w:rPr>
                <w:b/>
                <w:color w:val="FFFFFF"/>
                <w:sz w:val="19"/>
              </w:rPr>
              <w:t>Fase</w:t>
            </w:r>
          </w:p>
        </w:tc>
        <w:tc>
          <w:tcPr>
            <w:tcW w:type="dxa" w:w="1701"/>
            <w:shd w:val="clear" w:color="auto" w:fill="1A2C5B"/>
          </w:tcPr>
          <w:p>
            <w:pPr>
              <w:jc w:val="center"/>
            </w:pPr>
            <w:r>
              <w:rPr>
                <w:b/>
                <w:color w:val="FFFFFF"/>
                <w:sz w:val="19"/>
              </w:rPr>
              <w:t>Plazo</w:t>
            </w:r>
          </w:p>
        </w:tc>
        <w:tc>
          <w:tcPr>
            <w:tcW w:type="dxa" w:w="6803"/>
            <w:shd w:val="clear" w:color="auto" w:fill="1A2C5B"/>
          </w:tcPr>
          <w:p>
            <w:pPr>
              <w:jc w:val="center"/>
            </w:pPr>
            <w:r>
              <w:rPr>
                <w:b/>
                <w:color w:val="FFFFFF"/>
                <w:sz w:val="19"/>
              </w:rPr>
              <w:t>Hitos</w:t>
            </w:r>
          </w:p>
        </w:tc>
      </w:tr>
      <w:tr>
        <w:tc>
          <w:tcPr>
            <w:tcW w:type="dxa" w:w="2268"/>
            <w:shd w:val="clear" w:color="auto" w:fill="F0F4FA"/>
          </w:tcPr>
          <w:p>
            <w:pPr>
              <w:jc w:val="left"/>
            </w:pPr>
            <w:r>
              <w:rPr>
                <w:b/>
                <w:color w:val="1A2C5B"/>
                <w:sz w:val="19"/>
              </w:rPr>
              <w:t>Fase 1 — Debida Diligencia</w:t>
            </w:r>
          </w:p>
        </w:tc>
        <w:tc>
          <w:tcPr>
            <w:tcW w:type="dxa" w:w="1701"/>
            <w:shd w:val="clear" w:color="auto" w:fill="F0F4FA"/>
          </w:tcPr>
          <w:p>
            <w:pPr>
              <w:jc w:val="right"/>
            </w:pPr>
            <w:r>
              <w:rPr>
                <w:color w:val="333333"/>
                <w:sz w:val="19"/>
              </w:rPr>
              <w:t>Meses 1-2</w:t>
            </w:r>
          </w:p>
        </w:tc>
        <w:tc>
          <w:tcPr>
            <w:tcW w:type="dxa" w:w="6803"/>
            <w:shd w:val="clear" w:color="auto" w:fill="F0F4FA"/>
          </w:tcPr>
          <w:p>
            <w:pPr>
              <w:jc w:val="right"/>
            </w:pPr>
            <w:r>
              <w:rPr>
                <w:color w:val="333333"/>
                <w:sz w:val="19"/>
              </w:rPr>
              <w:t>Auditoría financiera, revisión MPPE, avalúo de activos, verificación de matrícula</w:t>
            </w:r>
          </w:p>
        </w:tc>
      </w:tr>
      <w:tr>
        <w:tc>
          <w:tcPr>
            <w:tcW w:type="dxa" w:w="2268"/>
            <w:shd w:val="clear" w:color="auto" w:fill="FFFFFF"/>
          </w:tcPr>
          <w:p>
            <w:pPr>
              <w:jc w:val="left"/>
            </w:pPr>
            <w:r>
              <w:rPr>
                <w:b/>
                <w:color w:val="1A2C5B"/>
                <w:sz w:val="19"/>
              </w:rPr>
              <w:t>Fase 2 — Transferencia Legal</w:t>
            </w:r>
          </w:p>
        </w:tc>
        <w:tc>
          <w:tcPr>
            <w:tcW w:type="dxa" w:w="1701"/>
            <w:shd w:val="clear" w:color="auto" w:fill="FFFFFF"/>
          </w:tcPr>
          <w:p>
            <w:pPr>
              <w:jc w:val="right"/>
            </w:pPr>
            <w:r>
              <w:rPr>
                <w:color w:val="333333"/>
                <w:sz w:val="19"/>
              </w:rPr>
              <w:t>Meses 2-3</w:t>
            </w:r>
          </w:p>
        </w:tc>
        <w:tc>
          <w:tcPr>
            <w:tcW w:type="dxa" w:w="6803"/>
            <w:shd w:val="clear" w:color="auto" w:fill="FFFFFF"/>
          </w:tcPr>
          <w:p>
            <w:pPr>
              <w:jc w:val="right"/>
            </w:pPr>
            <w:r>
              <w:rPr>
                <w:color w:val="333333"/>
                <w:sz w:val="19"/>
              </w:rPr>
              <w:t>Escritura de propiedad, notificación MPPE, revisión de contratos laborales</w:t>
            </w:r>
          </w:p>
        </w:tc>
      </w:tr>
      <w:tr>
        <w:tc>
          <w:tcPr>
            <w:tcW w:type="dxa" w:w="2268"/>
            <w:shd w:val="clear" w:color="auto" w:fill="F0F4FA"/>
          </w:tcPr>
          <w:p>
            <w:pPr>
              <w:jc w:val="left"/>
            </w:pPr>
            <w:r>
              <w:rPr>
                <w:b/>
                <w:color w:val="1A2C5B"/>
                <w:sz w:val="19"/>
              </w:rPr>
              <w:t>Fase 3 — Entrega Operativa</w:t>
            </w:r>
          </w:p>
        </w:tc>
        <w:tc>
          <w:tcPr>
            <w:tcW w:type="dxa" w:w="1701"/>
            <w:shd w:val="clear" w:color="auto" w:fill="F0F4FA"/>
          </w:tcPr>
          <w:p>
            <w:pPr>
              <w:jc w:val="right"/>
            </w:pPr>
            <w:r>
              <w:rPr>
                <w:color w:val="333333"/>
                <w:sz w:val="19"/>
              </w:rPr>
              <w:t>Meses 3-4</w:t>
            </w:r>
          </w:p>
        </w:tc>
        <w:tc>
          <w:tcPr>
            <w:tcW w:type="dxa" w:w="6803"/>
            <w:shd w:val="clear" w:color="auto" w:fill="F0F4FA"/>
          </w:tcPr>
          <w:p>
            <w:pPr>
              <w:jc w:val="right"/>
            </w:pPr>
            <w:r>
              <w:rPr>
                <w:color w:val="333333"/>
                <w:sz w:val="19"/>
              </w:rPr>
              <w:t>Contrato CEO firmado, cuentas bancarias transferidas, accesos ERP migrados</w:t>
            </w:r>
          </w:p>
        </w:tc>
      </w:tr>
      <w:tr>
        <w:tc>
          <w:tcPr>
            <w:tcW w:type="dxa" w:w="2268"/>
            <w:shd w:val="clear" w:color="auto" w:fill="FFFFFF"/>
          </w:tcPr>
          <w:p>
            <w:pPr>
              <w:jc w:val="left"/>
            </w:pPr>
            <w:r>
              <w:rPr>
                <w:b/>
                <w:color w:val="1A2C5B"/>
                <w:sz w:val="19"/>
              </w:rPr>
              <w:t>Fase 4 — Estabilización</w:t>
            </w:r>
          </w:p>
        </w:tc>
        <w:tc>
          <w:tcPr>
            <w:tcW w:type="dxa" w:w="1701"/>
            <w:shd w:val="clear" w:color="auto" w:fill="FFFFFF"/>
          </w:tcPr>
          <w:p>
            <w:pPr>
              <w:jc w:val="right"/>
            </w:pPr>
            <w:r>
              <w:rPr>
                <w:color w:val="333333"/>
                <w:sz w:val="19"/>
              </w:rPr>
              <w:t>Meses 4-6</w:t>
            </w:r>
          </w:p>
        </w:tc>
        <w:tc>
          <w:tcPr>
            <w:tcW w:type="dxa" w:w="6803"/>
            <w:shd w:val="clear" w:color="auto" w:fill="FFFFFF"/>
          </w:tcPr>
          <w:p>
            <w:pPr>
              <w:jc w:val="right"/>
            </w:pPr>
            <w:r>
              <w:rPr>
                <w:color w:val="333333"/>
                <w:sz w:val="19"/>
              </w:rPr>
              <w:t>Primer período académico completo bajo nueva propiedad; KPIs establecidos</w:t>
            </w:r>
          </w:p>
        </w:tc>
      </w:tr>
      <w:tr>
        <w:tc>
          <w:tcPr>
            <w:tcW w:type="dxa" w:w="2268"/>
            <w:shd w:val="clear" w:color="auto" w:fill="F0F4FA"/>
          </w:tcPr>
          <w:p>
            <w:pPr>
              <w:jc w:val="left"/>
            </w:pPr>
            <w:r>
              <w:rPr>
                <w:b/>
                <w:color w:val="1A2C5B"/>
                <w:sz w:val="19"/>
              </w:rPr>
              <w:t>Fase 5 — Crecimiento</w:t>
            </w:r>
          </w:p>
        </w:tc>
        <w:tc>
          <w:tcPr>
            <w:tcW w:type="dxa" w:w="1701"/>
            <w:shd w:val="clear" w:color="auto" w:fill="F0F4FA"/>
          </w:tcPr>
          <w:p>
            <w:pPr>
              <w:jc w:val="right"/>
            </w:pPr>
            <w:r>
              <w:rPr>
                <w:color w:val="333333"/>
                <w:sz w:val="19"/>
              </w:rPr>
              <w:t>Meses 7-24</w:t>
            </w:r>
          </w:p>
        </w:tc>
        <w:tc>
          <w:tcPr>
            <w:tcW w:type="dxa" w:w="6803"/>
            <w:shd w:val="clear" w:color="auto" w:fill="F0F4FA"/>
          </w:tcPr>
          <w:p>
            <w:pPr>
              <w:jc w:val="right"/>
            </w:pPr>
            <w:r>
              <w:rPr>
                <w:color w:val="333333"/>
                <w:sz w:val="19"/>
              </w:rPr>
              <w:t>Campaña de captación, expansión de servicios, revisión anual de tarifas</w:t>
            </w:r>
          </w:p>
        </w:tc>
      </w:tr>
    </w:tbl>
    <w:p>
      <w:pPr>
        <w:spacing w:after="40"/>
      </w:pPr>
    </w:p>
    <w:p>
      <w:pPr>
        <w:spacing w:before="200" w:after="60"/>
        <w:pBdr>
          <w:bottom w:val="single" w:sz="6" w:space="1" w:color="1A2C5B"/>
        </w:pBdr>
      </w:pPr>
      <w:r>
        <w:rPr>
          <w:b/>
          <w:color w:val="1A2C5B"/>
          <w:sz w:val="22"/>
        </w:rPr>
        <w:t>5.3  PROPUESTA DE VALOR DEL CEO</w:t>
      </w:r>
    </w:p>
    <w:p>
      <w:pPr>
        <w:spacing w:before="40" w:after="80"/>
      </w:pPr>
      <w:r>
        <w:rPr>
          <w:b w:val="0"/>
          <w:i w:val="0"/>
          <w:color w:val="444444"/>
          <w:sz w:val="21"/>
        </w:rPr>
        <w:t>El CEO propuesto aporta al inversor:</w:t>
      </w:r>
    </w:p>
    <w:p>
      <w:pPr>
        <w:pStyle w:val="ListBullet"/>
        <w:spacing w:before="20" w:after="40"/>
        <w:ind w:left="432"/>
      </w:pPr>
      <w:r>
        <w:rPr>
          <w:color w:val="444444"/>
          <w:sz w:val="21"/>
        </w:rPr>
        <w:t>Conocimiento institucional de 48 años — relaciones MPPE, estándares curriculares, confianza comunitaria</w:t>
      </w:r>
    </w:p>
    <w:p>
      <w:pPr>
        <w:pStyle w:val="ListBullet"/>
        <w:spacing w:before="20" w:after="40"/>
        <w:ind w:left="432"/>
      </w:pPr>
      <w:r>
        <w:rPr>
          <w:color w:val="444444"/>
          <w:sz w:val="21"/>
        </w:rPr>
        <w:t>Infraestructura de ERP Odoo + agente IA WhatsApp ya construida y operativa</w:t>
      </w:r>
    </w:p>
    <w:p>
      <w:pPr>
        <w:pStyle w:val="ListBullet"/>
        <w:spacing w:before="20" w:after="40"/>
        <w:ind w:left="432"/>
      </w:pPr>
      <w:r>
        <w:rPr>
          <w:color w:val="444444"/>
          <w:sz w:val="21"/>
        </w:rPr>
        <w:t>Relaciones directas con 43 empleados, 207 familias y redes empresariales regionales</w:t>
      </w:r>
    </w:p>
    <w:p>
      <w:pPr>
        <w:pStyle w:val="ListBullet"/>
        <w:spacing w:before="20" w:after="40"/>
        <w:ind w:left="432"/>
      </w:pPr>
      <w:r>
        <w:rPr>
          <w:color w:val="444444"/>
          <w:sz w:val="21"/>
        </w:rPr>
        <w:t>Historial de disciplina financiera — sistema de nómina V2, estructuras salariales, cumplimiento laboral</w:t>
      </w:r>
    </w:p>
    <w:p>
      <w:pPr>
        <w:pStyle w:val="ListBullet"/>
        <w:spacing w:before="20" w:after="40"/>
        <w:ind w:left="432"/>
      </w:pPr>
      <w:r>
        <w:rPr>
          <w:color w:val="444444"/>
          <w:sz w:val="21"/>
        </w:rPr>
        <w:t>Mitigación del riesgo de continuidad — evita cambios abruptos de liderazgo que suelen desestabilizar la matrícula</w:t>
      </w:r>
    </w:p>
    <w:p>
      <w:r>
        <w:br w:type="page"/>
      </w:r>
    </w:p>
    <w:tbl>
      <w:tblPr>
        <w:tblW w:type="auto" w:w="0"/>
        <w:jc w:val="center"/>
        <w:tblLook w:firstColumn="1" w:firstRow="1" w:lastColumn="0" w:lastRow="0" w:noHBand="0" w:noVBand="1" w:val="04A0"/>
      </w:tblPr>
      <w:tblGrid>
        <w:gridCol w:w="9066"/>
      </w:tblGrid>
      <w:tr>
        <w:tc>
          <w:tcPr>
            <w:tcW w:type="dxa" w:w="9066"/>
            <w:shd w:val="clear" w:color="auto" w:fill="1A2C5B"/>
            <w:tcMar>
              <w:top w:w="100" w:type="dxa"/>
              <w:bottom w:w="100" w:type="dxa"/>
              <w:left w:w="100" w:type="dxa"/>
              <w:right w:w="100" w:type="dxa"/>
            </w:tcMar>
          </w:tcPr>
          <w:p>
            <w:pPr>
              <w:spacing w:before="40" w:after="40"/>
              <w:jc w:val="center"/>
            </w:pPr>
            <w:r>
              <w:rPr>
                <w:b/>
                <w:color w:val="FFFFFF"/>
                <w:sz w:val="30"/>
              </w:rPr>
              <w:t>6 · ANÁLISIS DE RIESGOS</w:t>
            </w:r>
          </w:p>
        </w:tc>
      </w:tr>
    </w:tbl>
    <w:p>
      <w:pPr>
        <w:spacing w:after="40"/>
      </w:pPr>
    </w:p>
    <w:p>
      <w:pPr>
        <w:spacing w:before="200" w:after="60"/>
        <w:pBdr>
          <w:bottom w:val="single" w:sz="6" w:space="1" w:color="1A2C5B"/>
        </w:pBdr>
      </w:pPr>
      <w:r>
        <w:rPr>
          <w:b/>
          <w:color w:val="1A2C5B"/>
          <w:sz w:val="22"/>
        </w:rPr>
        <w:t>6.1  MATRIZ DE RIESGOS</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2551"/>
            <w:shd w:val="clear" w:color="auto" w:fill="1A2C5B"/>
          </w:tcPr>
          <w:p>
            <w:pPr>
              <w:jc w:val="center"/>
            </w:pPr>
            <w:r>
              <w:rPr>
                <w:b/>
                <w:color w:val="FFFFFF"/>
                <w:sz w:val="19"/>
              </w:rPr>
              <w:t>Riesgo</w:t>
            </w:r>
          </w:p>
        </w:tc>
        <w:tc>
          <w:tcPr>
            <w:tcW w:type="dxa" w:w="1417"/>
            <w:shd w:val="clear" w:color="auto" w:fill="1A2C5B"/>
          </w:tcPr>
          <w:p>
            <w:pPr>
              <w:jc w:val="center"/>
            </w:pPr>
            <w:r>
              <w:rPr>
                <w:b/>
                <w:color w:val="FFFFFF"/>
                <w:sz w:val="19"/>
              </w:rPr>
              <w:t>Probabilidad</w:t>
            </w:r>
          </w:p>
        </w:tc>
        <w:tc>
          <w:tcPr>
            <w:tcW w:type="dxa" w:w="1134"/>
            <w:shd w:val="clear" w:color="auto" w:fill="1A2C5B"/>
          </w:tcPr>
          <w:p>
            <w:pPr>
              <w:jc w:val="center"/>
            </w:pPr>
            <w:r>
              <w:rPr>
                <w:b/>
                <w:color w:val="FFFFFF"/>
                <w:sz w:val="19"/>
              </w:rPr>
              <w:t>Impacto</w:t>
            </w:r>
          </w:p>
        </w:tc>
        <w:tc>
          <w:tcPr>
            <w:tcW w:type="dxa" w:w="1417"/>
            <w:shd w:val="clear" w:color="auto" w:fill="1A2C5B"/>
          </w:tcPr>
          <w:p>
            <w:pPr>
              <w:jc w:val="center"/>
            </w:pPr>
            <w:r>
              <w:rPr>
                <w:b/>
                <w:color w:val="FFFFFF"/>
                <w:sz w:val="19"/>
              </w:rPr>
              <w:t>Severidad</w:t>
            </w:r>
          </w:p>
        </w:tc>
        <w:tc>
          <w:tcPr>
            <w:tcW w:type="dxa" w:w="4252"/>
            <w:shd w:val="clear" w:color="auto" w:fill="1A2C5B"/>
          </w:tcPr>
          <w:p>
            <w:pPr>
              <w:jc w:val="center"/>
            </w:pPr>
            <w:r>
              <w:rPr>
                <w:b/>
                <w:color w:val="FFFFFF"/>
                <w:sz w:val="19"/>
              </w:rPr>
              <w:t>Mitigación</w:t>
            </w:r>
          </w:p>
        </w:tc>
      </w:tr>
      <w:tr>
        <w:tc>
          <w:tcPr>
            <w:tcW w:type="dxa" w:w="2551"/>
            <w:shd w:val="clear" w:color="auto" w:fill="F0F4FA"/>
          </w:tcPr>
          <w:p>
            <w:pPr>
              <w:jc w:val="left"/>
            </w:pPr>
            <w:r>
              <w:rPr>
                <w:b/>
                <w:color w:val="1A2C5B"/>
                <w:sz w:val="19"/>
              </w:rPr>
              <w:t>Devaluación cambiaria (Bs/USD)</w:t>
            </w:r>
          </w:p>
        </w:tc>
        <w:tc>
          <w:tcPr>
            <w:tcW w:type="dxa" w:w="1417"/>
            <w:shd w:val="clear" w:color="auto" w:fill="F0F4FA"/>
          </w:tcPr>
          <w:p>
            <w:pPr>
              <w:jc w:val="right"/>
            </w:pPr>
            <w:r>
              <w:rPr>
                <w:color w:val="333333"/>
                <w:sz w:val="19"/>
              </w:rPr>
              <w:t>Alta</w:t>
            </w:r>
          </w:p>
        </w:tc>
        <w:tc>
          <w:tcPr>
            <w:tcW w:type="dxa" w:w="1134"/>
            <w:shd w:val="clear" w:color="auto" w:fill="F0F4FA"/>
          </w:tcPr>
          <w:p>
            <w:pPr>
              <w:jc w:val="right"/>
            </w:pPr>
            <w:r>
              <w:rPr>
                <w:color w:val="333333"/>
                <w:sz w:val="19"/>
              </w:rPr>
              <w:t>Media</w:t>
            </w:r>
          </w:p>
        </w:tc>
        <w:tc>
          <w:tcPr>
            <w:tcW w:type="dxa" w:w="1417"/>
            <w:shd w:val="clear" w:color="auto" w:fill="F0F4FA"/>
          </w:tcPr>
          <w:p>
            <w:pPr>
              <w:jc w:val="right"/>
            </w:pPr>
            <w:r>
              <w:rPr>
                <w:color w:val="333333"/>
                <w:sz w:val="19"/>
              </w:rPr>
              <w:t>★★★☆☆</w:t>
            </w:r>
          </w:p>
        </w:tc>
        <w:tc>
          <w:tcPr>
            <w:tcW w:type="dxa" w:w="4252"/>
            <w:shd w:val="clear" w:color="auto" w:fill="F0F4FA"/>
          </w:tcPr>
          <w:p>
            <w:pPr>
              <w:jc w:val="right"/>
            </w:pPr>
            <w:r>
              <w:rPr>
                <w:color w:val="333333"/>
                <w:sz w:val="19"/>
              </w:rPr>
              <w:t>Mensualidades en USD; cobranza en Bs. a tasa BCV diaria</w:t>
            </w:r>
          </w:p>
        </w:tc>
      </w:tr>
      <w:tr>
        <w:tc>
          <w:tcPr>
            <w:tcW w:type="dxa" w:w="2551"/>
            <w:shd w:val="clear" w:color="auto" w:fill="FFFFFF"/>
          </w:tcPr>
          <w:p>
            <w:pPr>
              <w:jc w:val="left"/>
            </w:pPr>
            <w:r>
              <w:rPr>
                <w:b/>
                <w:color w:val="1A2C5B"/>
                <w:sz w:val="19"/>
              </w:rPr>
              <w:t>Caída de matrícula</w:t>
            </w:r>
          </w:p>
        </w:tc>
        <w:tc>
          <w:tcPr>
            <w:tcW w:type="dxa" w:w="1417"/>
            <w:shd w:val="clear" w:color="auto" w:fill="FFFFFF"/>
          </w:tcPr>
          <w:p>
            <w:pPr>
              <w:jc w:val="right"/>
            </w:pPr>
            <w:r>
              <w:rPr>
                <w:color w:val="333333"/>
                <w:sz w:val="19"/>
              </w:rPr>
              <w:t>Media</w:t>
            </w:r>
          </w:p>
        </w:tc>
        <w:tc>
          <w:tcPr>
            <w:tcW w:type="dxa" w:w="1134"/>
            <w:shd w:val="clear" w:color="auto" w:fill="FFFFFF"/>
          </w:tcPr>
          <w:p>
            <w:pPr>
              <w:jc w:val="right"/>
            </w:pPr>
            <w:r>
              <w:rPr>
                <w:color w:val="333333"/>
                <w:sz w:val="19"/>
              </w:rPr>
              <w:t>Alta</w:t>
            </w:r>
          </w:p>
        </w:tc>
        <w:tc>
          <w:tcPr>
            <w:tcW w:type="dxa" w:w="1417"/>
            <w:shd w:val="clear" w:color="auto" w:fill="FFFFFF"/>
          </w:tcPr>
          <w:p>
            <w:pPr>
              <w:jc w:val="right"/>
            </w:pPr>
            <w:r>
              <w:rPr>
                <w:color w:val="333333"/>
                <w:sz w:val="19"/>
              </w:rPr>
              <w:t>★★★★☆</w:t>
            </w:r>
          </w:p>
        </w:tc>
        <w:tc>
          <w:tcPr>
            <w:tcW w:type="dxa" w:w="4252"/>
            <w:shd w:val="clear" w:color="auto" w:fill="FFFFFF"/>
          </w:tcPr>
          <w:p>
            <w:pPr>
              <w:jc w:val="right"/>
            </w:pPr>
            <w:r>
              <w:rPr>
                <w:color w:val="333333"/>
                <w:sz w:val="19"/>
              </w:rPr>
              <w:t>48 años de lealtad de marca; campaña WhatsApp + IA activa</w:t>
            </w:r>
          </w:p>
        </w:tc>
      </w:tr>
      <w:tr>
        <w:tc>
          <w:tcPr>
            <w:tcW w:type="dxa" w:w="2551"/>
            <w:shd w:val="clear" w:color="auto" w:fill="F0F4FA"/>
          </w:tcPr>
          <w:p>
            <w:pPr>
              <w:jc w:val="left"/>
            </w:pPr>
            <w:r>
              <w:rPr>
                <w:b/>
                <w:color w:val="1A2C5B"/>
                <w:sz w:val="19"/>
              </w:rPr>
              <w:t>Cambios regulatorios MPPE</w:t>
            </w:r>
          </w:p>
        </w:tc>
        <w:tc>
          <w:tcPr>
            <w:tcW w:type="dxa" w:w="1417"/>
            <w:shd w:val="clear" w:color="auto" w:fill="F0F4FA"/>
          </w:tcPr>
          <w:p>
            <w:pPr>
              <w:jc w:val="right"/>
            </w:pPr>
            <w:r>
              <w:rPr>
                <w:color w:val="333333"/>
                <w:sz w:val="19"/>
              </w:rPr>
              <w:t>Baja</w:t>
            </w:r>
          </w:p>
        </w:tc>
        <w:tc>
          <w:tcPr>
            <w:tcW w:type="dxa" w:w="1134"/>
            <w:shd w:val="clear" w:color="auto" w:fill="F0F4FA"/>
          </w:tcPr>
          <w:p>
            <w:pPr>
              <w:jc w:val="right"/>
            </w:pPr>
            <w:r>
              <w:rPr>
                <w:color w:val="333333"/>
                <w:sz w:val="19"/>
              </w:rPr>
              <w:t>Alta</w:t>
            </w:r>
          </w:p>
        </w:tc>
        <w:tc>
          <w:tcPr>
            <w:tcW w:type="dxa" w:w="1417"/>
            <w:shd w:val="clear" w:color="auto" w:fill="F0F4FA"/>
          </w:tcPr>
          <w:p>
            <w:pPr>
              <w:jc w:val="right"/>
            </w:pPr>
            <w:r>
              <w:rPr>
                <w:color w:val="333333"/>
                <w:sz w:val="19"/>
              </w:rPr>
              <w:t>★★★☆☆</w:t>
            </w:r>
          </w:p>
        </w:tc>
        <w:tc>
          <w:tcPr>
            <w:tcW w:type="dxa" w:w="4252"/>
            <w:shd w:val="clear" w:color="auto" w:fill="F0F4FA"/>
          </w:tcPr>
          <w:p>
            <w:pPr>
              <w:jc w:val="right"/>
            </w:pPr>
            <w:r>
              <w:rPr>
                <w:color w:val="333333"/>
                <w:sz w:val="19"/>
              </w:rPr>
              <w:t>CEO retenido/a para gestión MPPE; membresía CAVEC activa</w:t>
            </w:r>
          </w:p>
        </w:tc>
      </w:tr>
      <w:tr>
        <w:tc>
          <w:tcPr>
            <w:tcW w:type="dxa" w:w="2551"/>
            <w:shd w:val="clear" w:color="auto" w:fill="FFFFFF"/>
          </w:tcPr>
          <w:p>
            <w:pPr>
              <w:jc w:val="left"/>
            </w:pPr>
            <w:r>
              <w:rPr>
                <w:b/>
                <w:color w:val="1A2C5B"/>
                <w:sz w:val="19"/>
              </w:rPr>
              <w:t>Renuncia de personal clave</w:t>
            </w:r>
          </w:p>
        </w:tc>
        <w:tc>
          <w:tcPr>
            <w:tcW w:type="dxa" w:w="1417"/>
            <w:shd w:val="clear" w:color="auto" w:fill="FFFFFF"/>
          </w:tcPr>
          <w:p>
            <w:pPr>
              <w:jc w:val="right"/>
            </w:pPr>
            <w:r>
              <w:rPr>
                <w:color w:val="333333"/>
                <w:sz w:val="19"/>
              </w:rPr>
              <w:t>Media</w:t>
            </w:r>
          </w:p>
        </w:tc>
        <w:tc>
          <w:tcPr>
            <w:tcW w:type="dxa" w:w="1134"/>
            <w:shd w:val="clear" w:color="auto" w:fill="FFFFFF"/>
          </w:tcPr>
          <w:p>
            <w:pPr>
              <w:jc w:val="right"/>
            </w:pPr>
            <w:r>
              <w:rPr>
                <w:color w:val="333333"/>
                <w:sz w:val="19"/>
              </w:rPr>
              <w:t>Media</w:t>
            </w:r>
          </w:p>
        </w:tc>
        <w:tc>
          <w:tcPr>
            <w:tcW w:type="dxa" w:w="1417"/>
            <w:shd w:val="clear" w:color="auto" w:fill="FFFFFF"/>
          </w:tcPr>
          <w:p>
            <w:pPr>
              <w:jc w:val="right"/>
            </w:pPr>
            <w:r>
              <w:rPr>
                <w:color w:val="333333"/>
                <w:sz w:val="19"/>
              </w:rPr>
              <w:t>★★★☆☆</w:t>
            </w:r>
          </w:p>
        </w:tc>
        <w:tc>
          <w:tcPr>
            <w:tcW w:type="dxa" w:w="4252"/>
            <w:shd w:val="clear" w:color="auto" w:fill="FFFFFF"/>
          </w:tcPr>
          <w:p>
            <w:pPr>
              <w:jc w:val="right"/>
            </w:pPr>
            <w:r>
              <w:rPr>
                <w:color w:val="333333"/>
                <w:sz w:val="19"/>
              </w:rPr>
              <w:t>Salarios competitivos; contratos con cláusulas de retención</w:t>
            </w:r>
          </w:p>
        </w:tc>
      </w:tr>
      <w:tr>
        <w:tc>
          <w:tcPr>
            <w:tcW w:type="dxa" w:w="2551"/>
            <w:shd w:val="clear" w:color="auto" w:fill="F0F4FA"/>
          </w:tcPr>
          <w:p>
            <w:pPr>
              <w:jc w:val="left"/>
            </w:pPr>
            <w:r>
              <w:rPr>
                <w:b/>
                <w:color w:val="1A2C5B"/>
                <w:sz w:val="19"/>
              </w:rPr>
              <w:t>Renuncia del CEO post-venta</w:t>
            </w:r>
          </w:p>
        </w:tc>
        <w:tc>
          <w:tcPr>
            <w:tcW w:type="dxa" w:w="1417"/>
            <w:shd w:val="clear" w:color="auto" w:fill="F0F4FA"/>
          </w:tcPr>
          <w:p>
            <w:pPr>
              <w:jc w:val="right"/>
            </w:pPr>
            <w:r>
              <w:rPr>
                <w:color w:val="333333"/>
                <w:sz w:val="19"/>
              </w:rPr>
              <w:t>Baja</w:t>
            </w:r>
          </w:p>
        </w:tc>
        <w:tc>
          <w:tcPr>
            <w:tcW w:type="dxa" w:w="1134"/>
            <w:shd w:val="clear" w:color="auto" w:fill="F0F4FA"/>
          </w:tcPr>
          <w:p>
            <w:pPr>
              <w:jc w:val="right"/>
            </w:pPr>
            <w:r>
              <w:rPr>
                <w:color w:val="333333"/>
                <w:sz w:val="19"/>
              </w:rPr>
              <w:t>Alta</w:t>
            </w:r>
          </w:p>
        </w:tc>
        <w:tc>
          <w:tcPr>
            <w:tcW w:type="dxa" w:w="1417"/>
            <w:shd w:val="clear" w:color="auto" w:fill="F0F4FA"/>
          </w:tcPr>
          <w:p>
            <w:pPr>
              <w:jc w:val="right"/>
            </w:pPr>
            <w:r>
              <w:rPr>
                <w:color w:val="333333"/>
                <w:sz w:val="19"/>
              </w:rPr>
              <w:t>★★★★☆</w:t>
            </w:r>
          </w:p>
        </w:tc>
        <w:tc>
          <w:tcPr>
            <w:tcW w:type="dxa" w:w="4252"/>
            <w:shd w:val="clear" w:color="auto" w:fill="F0F4FA"/>
          </w:tcPr>
          <w:p>
            <w:pPr>
              <w:jc w:val="right"/>
            </w:pPr>
            <w:r>
              <w:rPr>
                <w:color w:val="333333"/>
                <w:sz w:val="19"/>
              </w:rPr>
              <w:t>Contrato de empleo plurianual con incentivos por desempeño</w:t>
            </w:r>
          </w:p>
        </w:tc>
      </w:tr>
      <w:tr>
        <w:tc>
          <w:tcPr>
            <w:tcW w:type="dxa" w:w="2551"/>
            <w:shd w:val="clear" w:color="auto" w:fill="FFFFFF"/>
          </w:tcPr>
          <w:p>
            <w:pPr>
              <w:jc w:val="left"/>
            </w:pPr>
            <w:r>
              <w:rPr>
                <w:b/>
                <w:color w:val="1A2C5B"/>
                <w:sz w:val="19"/>
              </w:rPr>
              <w:t>Recesión económica (Venezuela)</w:t>
            </w:r>
          </w:p>
        </w:tc>
        <w:tc>
          <w:tcPr>
            <w:tcW w:type="dxa" w:w="1417"/>
            <w:shd w:val="clear" w:color="auto" w:fill="FFFFFF"/>
          </w:tcPr>
          <w:p>
            <w:pPr>
              <w:jc w:val="right"/>
            </w:pPr>
            <w:r>
              <w:rPr>
                <w:color w:val="333333"/>
                <w:sz w:val="19"/>
              </w:rPr>
              <w:t>Alta</w:t>
            </w:r>
          </w:p>
        </w:tc>
        <w:tc>
          <w:tcPr>
            <w:tcW w:type="dxa" w:w="1134"/>
            <w:shd w:val="clear" w:color="auto" w:fill="FFFFFF"/>
          </w:tcPr>
          <w:p>
            <w:pPr>
              <w:jc w:val="right"/>
            </w:pPr>
            <w:r>
              <w:rPr>
                <w:color w:val="333333"/>
                <w:sz w:val="19"/>
              </w:rPr>
              <w:t>Alta</w:t>
            </w:r>
          </w:p>
        </w:tc>
        <w:tc>
          <w:tcPr>
            <w:tcW w:type="dxa" w:w="1417"/>
            <w:shd w:val="clear" w:color="auto" w:fill="FFFFFF"/>
          </w:tcPr>
          <w:p>
            <w:pPr>
              <w:jc w:val="right"/>
            </w:pPr>
            <w:r>
              <w:rPr>
                <w:color w:val="333333"/>
                <w:sz w:val="19"/>
              </w:rPr>
              <w:t>★★★★☆</w:t>
            </w:r>
          </w:p>
        </w:tc>
        <w:tc>
          <w:tcPr>
            <w:tcW w:type="dxa" w:w="4252"/>
            <w:shd w:val="clear" w:color="auto" w:fill="FFFFFF"/>
          </w:tcPr>
          <w:p>
            <w:pPr>
              <w:jc w:val="right"/>
            </w:pPr>
            <w:r>
              <w:rPr>
                <w:color w:val="333333"/>
                <w:sz w:val="19"/>
              </w:rPr>
              <w:t>Diversificar matrícula (familias PDVSA, comunidad UEIPAB); becas parciales</w:t>
            </w:r>
          </w:p>
        </w:tc>
      </w:tr>
      <w:tr>
        <w:tc>
          <w:tcPr>
            <w:tcW w:type="dxa" w:w="2551"/>
            <w:shd w:val="clear" w:color="auto" w:fill="F0F4FA"/>
          </w:tcPr>
          <w:p>
            <w:pPr>
              <w:jc w:val="left"/>
            </w:pPr>
            <w:r>
              <w:rPr>
                <w:b/>
                <w:color w:val="1A2C5B"/>
                <w:sz w:val="19"/>
              </w:rPr>
              <w:t>Falla de infraestructura</w:t>
            </w:r>
          </w:p>
        </w:tc>
        <w:tc>
          <w:tcPr>
            <w:tcW w:type="dxa" w:w="1417"/>
            <w:shd w:val="clear" w:color="auto" w:fill="F0F4FA"/>
          </w:tcPr>
          <w:p>
            <w:pPr>
              <w:jc w:val="right"/>
            </w:pPr>
            <w:r>
              <w:rPr>
                <w:color w:val="333333"/>
                <w:sz w:val="19"/>
              </w:rPr>
              <w:t>Baja</w:t>
            </w:r>
          </w:p>
        </w:tc>
        <w:tc>
          <w:tcPr>
            <w:tcW w:type="dxa" w:w="1134"/>
            <w:shd w:val="clear" w:color="auto" w:fill="F0F4FA"/>
          </w:tcPr>
          <w:p>
            <w:pPr>
              <w:jc w:val="right"/>
            </w:pPr>
            <w:r>
              <w:rPr>
                <w:color w:val="333333"/>
                <w:sz w:val="19"/>
              </w:rPr>
              <w:t>Media</w:t>
            </w:r>
          </w:p>
        </w:tc>
        <w:tc>
          <w:tcPr>
            <w:tcW w:type="dxa" w:w="1417"/>
            <w:shd w:val="clear" w:color="auto" w:fill="F0F4FA"/>
          </w:tcPr>
          <w:p>
            <w:pPr>
              <w:jc w:val="right"/>
            </w:pPr>
            <w:r>
              <w:rPr>
                <w:color w:val="333333"/>
                <w:sz w:val="19"/>
              </w:rPr>
              <w:t>★★☆☆☆</w:t>
            </w:r>
          </w:p>
        </w:tc>
        <w:tc>
          <w:tcPr>
            <w:tcW w:type="dxa" w:w="4252"/>
            <w:shd w:val="clear" w:color="auto" w:fill="F0F4FA"/>
          </w:tcPr>
          <w:p>
            <w:pPr>
              <w:jc w:val="right"/>
            </w:pPr>
            <w:r>
              <w:rPr>
                <w:color w:val="333333"/>
                <w:sz w:val="19"/>
              </w:rPr>
              <w:t>Presupuesto de mantenimiento $14,080/año; TI en la nube (Odoo)</w:t>
            </w:r>
          </w:p>
        </w:tc>
      </w:tr>
      <w:tr>
        <w:tc>
          <w:tcPr>
            <w:tcW w:type="dxa" w:w="2551"/>
            <w:shd w:val="clear" w:color="auto" w:fill="FFFFFF"/>
          </w:tcPr>
          <w:p>
            <w:pPr>
              <w:jc w:val="left"/>
            </w:pPr>
            <w:r>
              <w:rPr>
                <w:b/>
                <w:color w:val="1A2C5B"/>
                <w:sz w:val="19"/>
              </w:rPr>
              <w:t>Morosidad en cobros</w:t>
            </w:r>
          </w:p>
        </w:tc>
        <w:tc>
          <w:tcPr>
            <w:tcW w:type="dxa" w:w="1417"/>
            <w:shd w:val="clear" w:color="auto" w:fill="FFFFFF"/>
          </w:tcPr>
          <w:p>
            <w:pPr>
              <w:jc w:val="right"/>
            </w:pPr>
            <w:r>
              <w:rPr>
                <w:color w:val="333333"/>
                <w:sz w:val="19"/>
              </w:rPr>
              <w:t>Media</w:t>
            </w:r>
          </w:p>
        </w:tc>
        <w:tc>
          <w:tcPr>
            <w:tcW w:type="dxa" w:w="1134"/>
            <w:shd w:val="clear" w:color="auto" w:fill="FFFFFF"/>
          </w:tcPr>
          <w:p>
            <w:pPr>
              <w:jc w:val="right"/>
            </w:pPr>
            <w:r>
              <w:rPr>
                <w:color w:val="333333"/>
                <w:sz w:val="19"/>
              </w:rPr>
              <w:t>Media</w:t>
            </w:r>
          </w:p>
        </w:tc>
        <w:tc>
          <w:tcPr>
            <w:tcW w:type="dxa" w:w="1417"/>
            <w:shd w:val="clear" w:color="auto" w:fill="FFFFFF"/>
          </w:tcPr>
          <w:p>
            <w:pPr>
              <w:jc w:val="right"/>
            </w:pPr>
            <w:r>
              <w:rPr>
                <w:color w:val="333333"/>
                <w:sz w:val="19"/>
              </w:rPr>
              <w:t>★★★☆☆</w:t>
            </w:r>
          </w:p>
        </w:tc>
        <w:tc>
          <w:tcPr>
            <w:tcW w:type="dxa" w:w="4252"/>
            <w:shd w:val="clear" w:color="auto" w:fill="FFFFFF"/>
          </w:tcPr>
          <w:p>
            <w:pPr>
              <w:jc w:val="right"/>
            </w:pPr>
            <w:r>
              <w:rPr>
                <w:color w:val="333333"/>
                <w:sz w:val="19"/>
              </w:rPr>
              <w:t>Recordatorios automáticos de facturación (Glenda); descuento pronto pago</w:t>
            </w:r>
          </w:p>
        </w:tc>
      </w:tr>
      <w:tr>
        <w:tc>
          <w:tcPr>
            <w:tcW w:type="dxa" w:w="2551"/>
            <w:shd w:val="clear" w:color="auto" w:fill="F0F4FA"/>
          </w:tcPr>
          <w:p>
            <w:pPr>
              <w:jc w:val="left"/>
            </w:pPr>
            <w:r>
              <w:rPr>
                <w:b/>
                <w:color w:val="1A2C5B"/>
                <w:sz w:val="19"/>
              </w:rPr>
              <w:t>Nuevos competidores</w:t>
            </w:r>
          </w:p>
        </w:tc>
        <w:tc>
          <w:tcPr>
            <w:tcW w:type="dxa" w:w="1417"/>
            <w:shd w:val="clear" w:color="auto" w:fill="F0F4FA"/>
          </w:tcPr>
          <w:p>
            <w:pPr>
              <w:jc w:val="right"/>
            </w:pPr>
            <w:r>
              <w:rPr>
                <w:color w:val="333333"/>
                <w:sz w:val="19"/>
              </w:rPr>
              <w:t>Baja</w:t>
            </w:r>
          </w:p>
        </w:tc>
        <w:tc>
          <w:tcPr>
            <w:tcW w:type="dxa" w:w="1134"/>
            <w:shd w:val="clear" w:color="auto" w:fill="F0F4FA"/>
          </w:tcPr>
          <w:p>
            <w:pPr>
              <w:jc w:val="right"/>
            </w:pPr>
            <w:r>
              <w:rPr>
                <w:color w:val="333333"/>
                <w:sz w:val="19"/>
              </w:rPr>
              <w:t>Media</w:t>
            </w:r>
          </w:p>
        </w:tc>
        <w:tc>
          <w:tcPr>
            <w:tcW w:type="dxa" w:w="1417"/>
            <w:shd w:val="clear" w:color="auto" w:fill="F0F4FA"/>
          </w:tcPr>
          <w:p>
            <w:pPr>
              <w:jc w:val="right"/>
            </w:pPr>
            <w:r>
              <w:rPr>
                <w:color w:val="333333"/>
                <w:sz w:val="19"/>
              </w:rPr>
              <w:t>★★☆☆☆</w:t>
            </w:r>
          </w:p>
        </w:tc>
        <w:tc>
          <w:tcPr>
            <w:tcW w:type="dxa" w:w="4252"/>
            <w:shd w:val="clear" w:color="auto" w:fill="F0F4FA"/>
          </w:tcPr>
          <w:p>
            <w:pPr>
              <w:jc w:val="right"/>
            </w:pPr>
            <w:r>
              <w:rPr>
                <w:color w:val="333333"/>
                <w:sz w:val="19"/>
              </w:rPr>
              <w:t>Acreditación MPPE requiere 3-5 años; moat de marca = 48 años</w:t>
            </w:r>
          </w:p>
        </w:tc>
      </w:tr>
      <w:tr>
        <w:tc>
          <w:tcPr>
            <w:tcW w:type="dxa" w:w="2551"/>
            <w:shd w:val="clear" w:color="auto" w:fill="FFFFFF"/>
          </w:tcPr>
          <w:p>
            <w:pPr>
              <w:jc w:val="left"/>
            </w:pPr>
            <w:r>
              <w:rPr>
                <w:b/>
                <w:color w:val="1A2C5B"/>
                <w:sz w:val="19"/>
              </w:rPr>
              <w:t>Incumplimiento salario mínimo</w:t>
            </w:r>
          </w:p>
        </w:tc>
        <w:tc>
          <w:tcPr>
            <w:tcW w:type="dxa" w:w="1417"/>
            <w:shd w:val="clear" w:color="auto" w:fill="FFFFFF"/>
          </w:tcPr>
          <w:p>
            <w:pPr>
              <w:jc w:val="right"/>
            </w:pPr>
            <w:r>
              <w:rPr>
                <w:color w:val="333333"/>
                <w:sz w:val="19"/>
              </w:rPr>
              <w:t>Media</w:t>
            </w:r>
          </w:p>
        </w:tc>
        <w:tc>
          <w:tcPr>
            <w:tcW w:type="dxa" w:w="1134"/>
            <w:shd w:val="clear" w:color="auto" w:fill="FFFFFF"/>
          </w:tcPr>
          <w:p>
            <w:pPr>
              <w:jc w:val="right"/>
            </w:pPr>
            <w:r>
              <w:rPr>
                <w:color w:val="333333"/>
                <w:sz w:val="19"/>
              </w:rPr>
              <w:t>Baja</w:t>
            </w:r>
          </w:p>
        </w:tc>
        <w:tc>
          <w:tcPr>
            <w:tcW w:type="dxa" w:w="1417"/>
            <w:shd w:val="clear" w:color="auto" w:fill="FFFFFF"/>
          </w:tcPr>
          <w:p>
            <w:pPr>
              <w:jc w:val="right"/>
            </w:pPr>
            <w:r>
              <w:rPr>
                <w:color w:val="333333"/>
                <w:sz w:val="19"/>
              </w:rPr>
              <w:t>★★☆☆☆</w:t>
            </w:r>
          </w:p>
        </w:tc>
        <w:tc>
          <w:tcPr>
            <w:tcW w:type="dxa" w:w="4252"/>
            <w:shd w:val="clear" w:color="auto" w:fill="FFFFFF"/>
          </w:tcPr>
          <w:p>
            <w:pPr>
              <w:jc w:val="right"/>
            </w:pPr>
            <w:r>
              <w:rPr>
                <w:color w:val="333333"/>
                <w:sz w:val="19"/>
              </w:rPr>
              <w:t>2 empleados bajo $240 — ajuste presupuestado ≈ $920/año</w:t>
            </w:r>
          </w:p>
        </w:tc>
      </w:tr>
    </w:tbl>
    <w:p>
      <w:pPr>
        <w:spacing w:after="40"/>
      </w:pPr>
    </w:p>
    <w:p>
      <w:pPr>
        <w:spacing w:before="200" w:after="60"/>
        <w:pBdr>
          <w:bottom w:val="single" w:sz="6" w:space="1" w:color="1A2C5B"/>
        </w:pBdr>
      </w:pPr>
      <w:r>
        <w:rPr>
          <w:b/>
          <w:color w:val="1A2C5B"/>
          <w:sz w:val="22"/>
        </w:rPr>
        <w:t>6.2  ENTORNO MACROECONÓMICO</w:t>
      </w:r>
    </w:p>
    <w:p>
      <w:pPr>
        <w:spacing w:before="40" w:after="80"/>
      </w:pPr>
      <w:r>
        <w:rPr>
          <w:b w:val="0"/>
          <w:i w:val="0"/>
          <w:color w:val="444444"/>
          <w:sz w:val="21"/>
        </w:rPr>
        <w:t>El entorno económico de Venezuela sigue siendo complejo, pero muestra señales de estabilización con la dolarización parcial de la economía, que proporciona un piso para los servicios denominados en USD. La educación privada ha demostrado resiliencia: incluso durante la crisis 2018–2020, los colegios privados consolidados mantuvieron su matrícula mediante planes de pago flexibles, mientras la calidad de la educación pública se deterioraba significativamente.</w:t>
      </w:r>
    </w:p>
    <w:p>
      <w:pPr>
        <w:pStyle w:val="ListBullet"/>
        <w:spacing w:before="20" w:after="40"/>
        <w:ind w:left="432"/>
      </w:pPr>
      <w:r>
        <w:rPr>
          <w:color w:val="444444"/>
          <w:sz w:val="21"/>
        </w:rPr>
        <w:t>La dolarización parcial reduce el impacto de la hiperinflación en los servicios con precio en USD</w:t>
      </w:r>
    </w:p>
    <w:p>
      <w:pPr>
        <w:pStyle w:val="ListBullet"/>
        <w:spacing w:before="20" w:after="40"/>
        <w:ind w:left="432"/>
      </w:pPr>
      <w:r>
        <w:rPr>
          <w:color w:val="444444"/>
          <w:sz w:val="21"/>
        </w:rPr>
        <w:t>La creciente clase media de empleados del sector privado y la industria petrolera en Anzoátegui sostiene la demanda</w:t>
      </w:r>
    </w:p>
    <w:p>
      <w:pPr>
        <w:pStyle w:val="ListBullet"/>
        <w:spacing w:before="20" w:after="40"/>
        <w:ind w:left="432"/>
      </w:pPr>
      <w:r>
        <w:rPr>
          <w:color w:val="444444"/>
          <w:sz w:val="21"/>
        </w:rPr>
        <w:t>El deterioro de la calidad educativa pública aumenta el atractivo de los colegios privados</w:t>
      </w:r>
    </w:p>
    <w:p>
      <w:pPr>
        <w:pStyle w:val="ListBullet"/>
        <w:spacing w:before="20" w:after="40"/>
        <w:ind w:left="432"/>
      </w:pPr>
      <w:r>
        <w:rPr>
          <w:color w:val="444444"/>
          <w:sz w:val="21"/>
        </w:rPr>
        <w:t>La base laboral de PDVSA proporciona un segmento de clientes relativamente estable con mayor poder adquisitivo</w:t>
      </w:r>
    </w:p>
    <w:p>
      <w:pPr>
        <w:spacing w:before="200" w:after="60"/>
        <w:pBdr>
          <w:bottom w:val="single" w:sz="6" w:space="1" w:color="1A2C5B"/>
        </w:pBdr>
      </w:pPr>
      <w:r>
        <w:rPr>
          <w:b/>
          <w:color w:val="1A2C5B"/>
          <w:sz w:val="22"/>
        </w:rPr>
        <w:t>6.3  NOTA SOBRE CUMPLIMIENTO DE SALARIO MÍNIMO</w:t>
      </w:r>
    </w:p>
    <w:p>
      <w:pPr>
        <w:spacing w:before="40" w:after="80"/>
      </w:pPr>
      <w:r>
        <w:rPr>
          <w:b w:val="0"/>
          <w:i w:val="0"/>
          <w:color w:val="444444"/>
          <w:sz w:val="21"/>
        </w:rPr>
        <w:t>Según el Decreto de Ingreso Mínimo (abril 2026, $240/mes), dos empleados actuales se encuentran por debajo del umbral: LUIS RODRIGUEZ ($191.38) y NIDYA LIRA ($228.67). El ajuste requerido es de aproximadamente $920/año — un ítem conocido, menor y presupuestable, incluido en la debida diligencia.</w:t>
      </w:r>
    </w:p>
    <w:p>
      <w:r>
        <w:br w:type="page"/>
      </w:r>
    </w:p>
    <w:tbl>
      <w:tblPr>
        <w:tblW w:type="auto" w:w="0"/>
        <w:jc w:val="center"/>
        <w:tblLook w:firstColumn="1" w:firstRow="1" w:lastColumn="0" w:lastRow="0" w:noHBand="0" w:noVBand="1" w:val="04A0"/>
      </w:tblPr>
      <w:tblGrid>
        <w:gridCol w:w="9066"/>
      </w:tblGrid>
      <w:tr>
        <w:tc>
          <w:tcPr>
            <w:tcW w:type="dxa" w:w="9066"/>
            <w:shd w:val="clear" w:color="auto" w:fill="1A2C5B"/>
            <w:tcMar>
              <w:top w:w="100" w:type="dxa"/>
              <w:bottom w:w="100" w:type="dxa"/>
              <w:left w:w="100" w:type="dxa"/>
              <w:right w:w="100" w:type="dxa"/>
            </w:tcMar>
          </w:tcPr>
          <w:p>
            <w:pPr>
              <w:spacing w:before="40" w:after="40"/>
              <w:jc w:val="center"/>
            </w:pPr>
            <w:r>
              <w:rPr>
                <w:b/>
                <w:color w:val="FFFFFF"/>
                <w:sz w:val="30"/>
              </w:rPr>
              <w:t>7 · ESTRATEGIA DE CRECIMIENTO</w:t>
            </w:r>
          </w:p>
        </w:tc>
      </w:tr>
    </w:tbl>
    <w:p>
      <w:pPr>
        <w:spacing w:after="40"/>
      </w:pPr>
    </w:p>
    <w:p>
      <w:pPr>
        <w:spacing w:before="200" w:after="60"/>
        <w:pBdr>
          <w:bottom w:val="single" w:sz="6" w:space="1" w:color="1A2C5B"/>
        </w:pBdr>
      </w:pPr>
      <w:r>
        <w:rPr>
          <w:b/>
          <w:color w:val="1A2C5B"/>
          <w:sz w:val="22"/>
        </w:rPr>
        <w:t>7.1  CRECIMIENTO DE MATRÍCULA (AÑOS 1-2)</w:t>
      </w:r>
    </w:p>
    <w:p>
      <w:pPr>
        <w:spacing w:before="40" w:after="80"/>
      </w:pPr>
      <w:r>
        <w:rPr>
          <w:b w:val="0"/>
          <w:i w:val="0"/>
          <w:color w:val="444444"/>
          <w:sz w:val="21"/>
        </w:rPr>
        <w:t>Meta: 207 → 240 alumnos (+16%) en 24 meses</w:t>
      </w:r>
    </w:p>
    <w:p>
      <w:pPr>
        <w:pStyle w:val="ListBullet"/>
        <w:spacing w:before="20" w:after="40"/>
        <w:ind w:left="432"/>
      </w:pPr>
      <w:r>
        <w:rPr>
          <w:color w:val="444444"/>
          <w:sz w:val="21"/>
        </w:rPr>
        <w:t>Campaña de admisiones dirigida a familias PDVSA y el corredor industrial de Anzoátegui</w:t>
      </w:r>
    </w:p>
    <w:p>
      <w:pPr>
        <w:pStyle w:val="ListBullet"/>
        <w:spacing w:before="20" w:after="40"/>
        <w:ind w:left="432"/>
      </w:pPr>
      <w:r>
        <w:rPr>
          <w:color w:val="444444"/>
          <w:sz w:val="21"/>
        </w:rPr>
        <w:t>Agente WhatsApp con IA (Glenda) — consultas de admisión y seguimiento automático 24/7</w:t>
      </w:r>
    </w:p>
    <w:p>
      <w:pPr>
        <w:pStyle w:val="ListBullet"/>
        <w:spacing w:before="20" w:after="40"/>
        <w:ind w:left="432"/>
      </w:pPr>
      <w:r>
        <w:rPr>
          <w:color w:val="444444"/>
          <w:sz w:val="21"/>
        </w:rPr>
        <w:t>Programa de referidos para hermanos — incentivos a familias ya matriculadas</w:t>
      </w:r>
    </w:p>
    <w:p>
      <w:pPr>
        <w:pStyle w:val="ListBullet"/>
        <w:spacing w:before="20" w:after="40"/>
        <w:ind w:left="432"/>
      </w:pPr>
      <w:r>
        <w:rPr>
          <w:color w:val="444444"/>
          <w:sz w:val="21"/>
        </w:rPr>
        <w:t>Potenciar el flujo Maternal → Inicial — ampliar capacidad Maternal (actualmente 39 alumnos)</w:t>
      </w:r>
    </w:p>
    <w:p>
      <w:pPr>
        <w:pStyle w:val="ListBullet"/>
        <w:spacing w:before="20" w:after="40"/>
        <w:ind w:left="432"/>
      </w:pPr>
      <w:r>
        <w:rPr>
          <w:color w:val="444444"/>
          <w:sz w:val="21"/>
        </w:rPr>
        <w:t>Campañas de redes sociales — entrega de flyers + Instagram Stories ya operativos</w:t>
      </w:r>
    </w:p>
    <w:p>
      <w:pPr>
        <w:spacing w:before="200" w:after="60"/>
        <w:pBdr>
          <w:bottom w:val="single" w:sz="6" w:space="1" w:color="1A2C5B"/>
        </w:pBdr>
      </w:pPr>
      <w:r>
        <w:rPr>
          <w:b/>
          <w:color w:val="1A2C5B"/>
          <w:sz w:val="22"/>
        </w:rPr>
        <w:t>7.2  MEJORA DEL INGRESO POR ALUMNO</w:t>
      </w:r>
    </w:p>
    <w:p>
      <w:pPr>
        <w:pStyle w:val="ListBullet"/>
        <w:spacing w:before="20" w:after="40"/>
        <w:ind w:left="432"/>
      </w:pPr>
      <w:r>
        <w:rPr>
          <w:color w:val="444444"/>
          <w:sz w:val="21"/>
        </w:rPr>
        <w:t>Incremento anual de mensualidades del 8–12%, alineado con la inflación y el mercado</w:t>
      </w:r>
    </w:p>
    <w:p>
      <w:pPr>
        <w:pStyle w:val="ListBullet"/>
        <w:spacing w:before="20" w:after="40"/>
        <w:ind w:left="432"/>
      </w:pPr>
      <w:r>
        <w:rPr>
          <w:color w:val="444444"/>
          <w:sz w:val="21"/>
        </w:rPr>
        <w:t>Programa de jornada extendida (guardería antes/después del horario escolar)</w:t>
      </w:r>
    </w:p>
    <w:p>
      <w:pPr>
        <w:pStyle w:val="ListBullet"/>
        <w:spacing w:before="20" w:after="40"/>
        <w:ind w:left="432"/>
      </w:pPr>
      <w:r>
        <w:rPr>
          <w:color w:val="444444"/>
          <w:sz w:val="21"/>
        </w:rPr>
        <w:t>Programas premium de inglés intensivo y laboratorio tecnológico</w:t>
      </w:r>
    </w:p>
    <w:p>
      <w:pPr>
        <w:pStyle w:val="ListBullet"/>
        <w:spacing w:before="20" w:after="40"/>
        <w:ind w:left="432"/>
      </w:pPr>
      <w:r>
        <w:rPr>
          <w:color w:val="444444"/>
          <w:sz w:val="21"/>
        </w:rPr>
        <w:t>Patrocinio corporativo / derechos de nombre para espacios físicos del plantel</w:t>
      </w:r>
    </w:p>
    <w:p>
      <w:pPr>
        <w:spacing w:before="200" w:after="60"/>
        <w:pBdr>
          <w:bottom w:val="single" w:sz="6" w:space="1" w:color="1A2C5B"/>
        </w:pBdr>
      </w:pPr>
      <w:r>
        <w:rPr>
          <w:b/>
          <w:color w:val="1A2C5B"/>
          <w:sz w:val="22"/>
        </w:rPr>
        <w:t>7.3  OPTIMIZACIÓN DE COSTOS</w:t>
      </w:r>
    </w:p>
    <w:p>
      <w:pPr>
        <w:pStyle w:val="ListBullet"/>
        <w:spacing w:before="20" w:after="40"/>
        <w:ind w:left="432"/>
      </w:pPr>
      <w:r>
        <w:rPr>
          <w:color w:val="444444"/>
          <w:sz w:val="21"/>
        </w:rPr>
        <w:t>ERP Odoo ya desplegado — ganancias de eficiencia administrativa en curso</w:t>
      </w:r>
    </w:p>
    <w:p>
      <w:pPr>
        <w:pStyle w:val="ListBullet"/>
        <w:spacing w:before="20" w:after="40"/>
        <w:ind w:left="432"/>
      </w:pPr>
      <w:r>
        <w:rPr>
          <w:color w:val="444444"/>
          <w:sz w:val="21"/>
        </w:rPr>
        <w:t>Agente IA WhatsApp reduce el tiempo de atención telefónica/WhatsApp del personal en ≈30%</w:t>
      </w:r>
    </w:p>
    <w:p>
      <w:pPr>
        <w:pStyle w:val="ListBullet"/>
        <w:spacing w:before="20" w:after="40"/>
        <w:ind w:left="432"/>
      </w:pPr>
      <w:r>
        <w:rPr>
          <w:color w:val="444444"/>
          <w:sz w:val="21"/>
        </w:rPr>
        <w:t>Sistema de nómina V2 — liquidaciones automatizadas y cumplimiento legal reducen errores</w:t>
      </w:r>
    </w:p>
    <w:p>
      <w:pPr>
        <w:pStyle w:val="ListBullet"/>
        <w:spacing w:before="20" w:after="40"/>
        <w:ind w:left="432"/>
      </w:pPr>
      <w:r>
        <w:rPr>
          <w:color w:val="444444"/>
          <w:sz w:val="21"/>
        </w:rPr>
        <w:t>13 posiciones docentes vacantes presupuestadas — contratación selectiva optimiza la relación docente:alumno</w:t>
      </w:r>
    </w:p>
    <w:p>
      <w:pPr>
        <w:spacing w:before="200" w:after="60"/>
        <w:pBdr>
          <w:bottom w:val="single" w:sz="6" w:space="1" w:color="1A2C5B"/>
        </w:pBdr>
      </w:pPr>
      <w:r>
        <w:rPr>
          <w:b/>
          <w:color w:val="1A2C5B"/>
          <w:sz w:val="22"/>
        </w:rPr>
        <w:t>7.4  PROYECCIONES A 3 AÑOS</w:t>
      </w:r>
    </w:p>
    <w:tbl>
      <w:tblPr>
        <w:tblStyle w:val="TableGrid"/>
        <w:tblW w:type="auto" w:w="0"/>
        <w:tblLook w:firstColumn="1" w:firstRow="1" w:lastColumn="0" w:lastRow="0" w:noHBand="0" w:noVBand="1" w:val="04A0"/>
      </w:tblPr>
      <w:tblGrid>
        <w:gridCol w:w="1511"/>
        <w:gridCol w:w="1511"/>
        <w:gridCol w:w="1511"/>
        <w:gridCol w:w="1511"/>
        <w:gridCol w:w="1511"/>
        <w:gridCol w:w="1511"/>
      </w:tblGrid>
      <w:tr>
        <w:tc>
          <w:tcPr>
            <w:tcW w:type="dxa" w:w="1984"/>
            <w:shd w:val="clear" w:color="auto" w:fill="1A2C5B"/>
          </w:tcPr>
          <w:p>
            <w:pPr>
              <w:jc w:val="center"/>
            </w:pPr>
            <w:r>
              <w:rPr>
                <w:b/>
                <w:color w:val="FFFFFF"/>
                <w:sz w:val="19"/>
              </w:rPr>
              <w:t>Año</w:t>
            </w:r>
          </w:p>
        </w:tc>
        <w:tc>
          <w:tcPr>
            <w:tcW w:type="dxa" w:w="1701"/>
            <w:shd w:val="clear" w:color="auto" w:fill="1A2C5B"/>
          </w:tcPr>
          <w:p>
            <w:pPr>
              <w:jc w:val="center"/>
            </w:pPr>
            <w:r>
              <w:rPr>
                <w:b/>
                <w:color w:val="FFFFFF"/>
                <w:sz w:val="19"/>
              </w:rPr>
              <w:t>Alumnos</w:t>
            </w:r>
          </w:p>
        </w:tc>
        <w:tc>
          <w:tcPr>
            <w:tcW w:type="dxa" w:w="1984"/>
            <w:shd w:val="clear" w:color="auto" w:fill="1A2C5B"/>
          </w:tcPr>
          <w:p>
            <w:pPr>
              <w:jc w:val="center"/>
            </w:pPr>
            <w:r>
              <w:rPr>
                <w:b/>
                <w:color w:val="FFFFFF"/>
                <w:sz w:val="19"/>
              </w:rPr>
              <w:t>Mensualidad</w:t>
            </w:r>
          </w:p>
        </w:tc>
        <w:tc>
          <w:tcPr>
            <w:tcW w:type="dxa" w:w="2551"/>
            <w:shd w:val="clear" w:color="auto" w:fill="1A2C5B"/>
          </w:tcPr>
          <w:p>
            <w:pPr>
              <w:jc w:val="center"/>
            </w:pPr>
            <w:r>
              <w:rPr>
                <w:b/>
                <w:color w:val="FFFFFF"/>
                <w:sz w:val="19"/>
              </w:rPr>
              <w:t>Ingreso Anual (est.)</w:t>
            </w:r>
          </w:p>
        </w:tc>
        <w:tc>
          <w:tcPr>
            <w:tcW w:type="dxa" w:w="1984"/>
            <w:shd w:val="clear" w:color="auto" w:fill="1A2C5B"/>
          </w:tcPr>
          <w:p>
            <w:pPr>
              <w:jc w:val="center"/>
            </w:pPr>
            <w:r>
              <w:rPr>
                <w:b/>
                <w:color w:val="FFFFFF"/>
                <w:sz w:val="19"/>
              </w:rPr>
              <w:t>EBITDA (est.)</w:t>
            </w:r>
          </w:p>
        </w:tc>
        <w:tc>
          <w:tcPr>
            <w:tcW w:type="dxa" w:w="1984"/>
            <w:shd w:val="clear" w:color="auto" w:fill="1A2C5B"/>
          </w:tcPr>
          <w:p>
            <w:pPr>
              <w:jc w:val="center"/>
            </w:pPr>
            <w:r>
              <w:rPr>
                <w:b/>
                <w:color w:val="FFFFFF"/>
                <w:sz w:val="19"/>
              </w:rPr>
              <w:t>ROI sobre $1.3M</w:t>
            </w:r>
          </w:p>
        </w:tc>
      </w:tr>
      <w:tr>
        <w:tc>
          <w:tcPr>
            <w:tcW w:type="dxa" w:w="1984"/>
            <w:shd w:val="clear" w:color="auto" w:fill="F0F4FA"/>
          </w:tcPr>
          <w:p>
            <w:pPr>
              <w:jc w:val="left"/>
            </w:pPr>
            <w:r>
              <w:rPr>
                <w:b/>
                <w:color w:val="1A2C5B"/>
                <w:sz w:val="19"/>
              </w:rPr>
              <w:t>Año 1 (2026-27)</w:t>
            </w:r>
          </w:p>
        </w:tc>
        <w:tc>
          <w:tcPr>
            <w:tcW w:type="dxa" w:w="1701"/>
            <w:shd w:val="clear" w:color="auto" w:fill="F0F4FA"/>
          </w:tcPr>
          <w:p>
            <w:pPr>
              <w:jc w:val="right"/>
            </w:pPr>
            <w:r>
              <w:rPr>
                <w:color w:val="333333"/>
                <w:sz w:val="19"/>
              </w:rPr>
              <w:t>207</w:t>
            </w:r>
          </w:p>
        </w:tc>
        <w:tc>
          <w:tcPr>
            <w:tcW w:type="dxa" w:w="1984"/>
            <w:shd w:val="clear" w:color="auto" w:fill="F0F4FA"/>
          </w:tcPr>
          <w:p>
            <w:pPr>
              <w:jc w:val="right"/>
            </w:pPr>
            <w:r>
              <w:rPr>
                <w:color w:val="333333"/>
                <w:sz w:val="19"/>
              </w:rPr>
              <w:t>$218.88</w:t>
            </w:r>
          </w:p>
        </w:tc>
        <w:tc>
          <w:tcPr>
            <w:tcW w:type="dxa" w:w="2551"/>
            <w:shd w:val="clear" w:color="auto" w:fill="F0F4FA"/>
          </w:tcPr>
          <w:p>
            <w:pPr>
              <w:jc w:val="right"/>
            </w:pPr>
            <w:r>
              <w:rPr>
                <w:color w:val="333333"/>
                <w:sz w:val="19"/>
              </w:rPr>
              <w:t>$459,317</w:t>
            </w:r>
          </w:p>
        </w:tc>
        <w:tc>
          <w:tcPr>
            <w:tcW w:type="dxa" w:w="1984"/>
            <w:shd w:val="clear" w:color="auto" w:fill="F0F4FA"/>
          </w:tcPr>
          <w:p>
            <w:pPr>
              <w:jc w:val="right"/>
            </w:pPr>
            <w:r>
              <w:rPr>
                <w:color w:val="333333"/>
                <w:sz w:val="19"/>
              </w:rPr>
              <w:t>$85,648</w:t>
            </w:r>
          </w:p>
        </w:tc>
        <w:tc>
          <w:tcPr>
            <w:tcW w:type="dxa" w:w="1984"/>
            <w:shd w:val="clear" w:color="auto" w:fill="F0F4FA"/>
          </w:tcPr>
          <w:p>
            <w:pPr>
              <w:jc w:val="right"/>
            </w:pPr>
            <w:r>
              <w:rPr>
                <w:color w:val="333333"/>
                <w:sz w:val="19"/>
              </w:rPr>
              <w:t>6.6%</w:t>
            </w:r>
          </w:p>
        </w:tc>
      </w:tr>
      <w:tr>
        <w:tc>
          <w:tcPr>
            <w:tcW w:type="dxa" w:w="1984"/>
            <w:shd w:val="clear" w:color="auto" w:fill="FFFFFF"/>
          </w:tcPr>
          <w:p>
            <w:pPr>
              <w:jc w:val="left"/>
            </w:pPr>
            <w:r>
              <w:rPr>
                <w:b/>
                <w:color w:val="1A2C5B"/>
                <w:sz w:val="19"/>
              </w:rPr>
              <w:t>Año 2 (2027-28)</w:t>
            </w:r>
          </w:p>
        </w:tc>
        <w:tc>
          <w:tcPr>
            <w:tcW w:type="dxa" w:w="1701"/>
            <w:shd w:val="clear" w:color="auto" w:fill="FFFFFF"/>
          </w:tcPr>
          <w:p>
            <w:pPr>
              <w:jc w:val="right"/>
            </w:pPr>
            <w:r>
              <w:rPr>
                <w:color w:val="333333"/>
                <w:sz w:val="19"/>
              </w:rPr>
              <w:t>225</w:t>
            </w:r>
          </w:p>
        </w:tc>
        <w:tc>
          <w:tcPr>
            <w:tcW w:type="dxa" w:w="1984"/>
            <w:shd w:val="clear" w:color="auto" w:fill="FFFFFF"/>
          </w:tcPr>
          <w:p>
            <w:pPr>
              <w:jc w:val="right"/>
            </w:pPr>
            <w:r>
              <w:rPr>
                <w:color w:val="333333"/>
                <w:sz w:val="19"/>
              </w:rPr>
              <w:t>$235.00</w:t>
            </w:r>
          </w:p>
        </w:tc>
        <w:tc>
          <w:tcPr>
            <w:tcW w:type="dxa" w:w="2551"/>
            <w:shd w:val="clear" w:color="auto" w:fill="FFFFFF"/>
          </w:tcPr>
          <w:p>
            <w:pPr>
              <w:jc w:val="right"/>
            </w:pPr>
            <w:r>
              <w:rPr>
                <w:color w:val="333333"/>
                <w:sz w:val="19"/>
              </w:rPr>
              <w:t>$528,750</w:t>
            </w:r>
          </w:p>
        </w:tc>
        <w:tc>
          <w:tcPr>
            <w:tcW w:type="dxa" w:w="1984"/>
            <w:shd w:val="clear" w:color="auto" w:fill="FFFFFF"/>
          </w:tcPr>
          <w:p>
            <w:pPr>
              <w:jc w:val="right"/>
            </w:pPr>
            <w:r>
              <w:rPr>
                <w:color w:val="333333"/>
                <w:sz w:val="19"/>
              </w:rPr>
              <w:t>$135,000</w:t>
            </w:r>
          </w:p>
        </w:tc>
        <w:tc>
          <w:tcPr>
            <w:tcW w:type="dxa" w:w="1984"/>
            <w:shd w:val="clear" w:color="auto" w:fill="FFFFFF"/>
          </w:tcPr>
          <w:p>
            <w:pPr>
              <w:jc w:val="right"/>
            </w:pPr>
            <w:r>
              <w:rPr>
                <w:color w:val="333333"/>
                <w:sz w:val="19"/>
              </w:rPr>
              <w:t>10.4%</w:t>
            </w:r>
          </w:p>
        </w:tc>
      </w:tr>
      <w:tr>
        <w:tc>
          <w:tcPr>
            <w:tcW w:type="dxa" w:w="1984"/>
            <w:shd w:val="clear" w:color="auto" w:fill="F0F4FA"/>
          </w:tcPr>
          <w:p>
            <w:pPr>
              <w:jc w:val="left"/>
            </w:pPr>
            <w:r>
              <w:rPr>
                <w:b/>
                <w:color w:val="1A2C5B"/>
                <w:sz w:val="19"/>
              </w:rPr>
              <w:t>Año 3 (2028-29)</w:t>
            </w:r>
          </w:p>
        </w:tc>
        <w:tc>
          <w:tcPr>
            <w:tcW w:type="dxa" w:w="1701"/>
            <w:shd w:val="clear" w:color="auto" w:fill="F0F4FA"/>
          </w:tcPr>
          <w:p>
            <w:pPr>
              <w:jc w:val="right"/>
            </w:pPr>
            <w:r>
              <w:rPr>
                <w:color w:val="333333"/>
                <w:sz w:val="19"/>
              </w:rPr>
              <w:t>245</w:t>
            </w:r>
          </w:p>
        </w:tc>
        <w:tc>
          <w:tcPr>
            <w:tcW w:type="dxa" w:w="1984"/>
            <w:shd w:val="clear" w:color="auto" w:fill="F0F4FA"/>
          </w:tcPr>
          <w:p>
            <w:pPr>
              <w:jc w:val="right"/>
            </w:pPr>
            <w:r>
              <w:rPr>
                <w:color w:val="333333"/>
                <w:sz w:val="19"/>
              </w:rPr>
              <w:t>$255.00</w:t>
            </w:r>
          </w:p>
        </w:tc>
        <w:tc>
          <w:tcPr>
            <w:tcW w:type="dxa" w:w="2551"/>
            <w:shd w:val="clear" w:color="auto" w:fill="F0F4FA"/>
          </w:tcPr>
          <w:p>
            <w:pPr>
              <w:jc w:val="right"/>
            </w:pPr>
            <w:r>
              <w:rPr>
                <w:color w:val="333333"/>
                <w:sz w:val="19"/>
              </w:rPr>
              <w:t>$625,500</w:t>
            </w:r>
          </w:p>
        </w:tc>
        <w:tc>
          <w:tcPr>
            <w:tcW w:type="dxa" w:w="1984"/>
            <w:shd w:val="clear" w:color="auto" w:fill="F0F4FA"/>
          </w:tcPr>
          <w:p>
            <w:pPr>
              <w:jc w:val="right"/>
            </w:pPr>
            <w:r>
              <w:rPr>
                <w:color w:val="333333"/>
                <w:sz w:val="19"/>
              </w:rPr>
              <w:t>$200,000</w:t>
            </w:r>
          </w:p>
        </w:tc>
        <w:tc>
          <w:tcPr>
            <w:tcW w:type="dxa" w:w="1984"/>
            <w:shd w:val="clear" w:color="auto" w:fill="F0F4FA"/>
          </w:tcPr>
          <w:p>
            <w:pPr>
              <w:jc w:val="right"/>
            </w:pPr>
            <w:r>
              <w:rPr>
                <w:color w:val="333333"/>
                <w:sz w:val="19"/>
              </w:rPr>
              <w:t>15.4%</w:t>
            </w:r>
          </w:p>
        </w:tc>
      </w:tr>
      <w:tr>
        <w:tc>
          <w:tcPr>
            <w:tcW w:type="dxa" w:w="1984"/>
            <w:shd w:val="clear" w:color="auto" w:fill="FFFFFF"/>
          </w:tcPr>
          <w:p>
            <w:pPr>
              <w:jc w:val="left"/>
            </w:pPr>
            <w:r>
              <w:rPr>
                <w:b/>
                <w:color w:val="1A2C5B"/>
                <w:sz w:val="19"/>
              </w:rPr>
              <w:t>Acumulado 3 Años</w:t>
            </w:r>
          </w:p>
        </w:tc>
        <w:tc>
          <w:tcPr>
            <w:tcW w:type="dxa" w:w="1701"/>
            <w:shd w:val="clear" w:color="auto" w:fill="FFFFFF"/>
          </w:tcPr>
          <w:p>
            <w:pPr>
              <w:jc w:val="right"/>
            </w:pPr>
            <w:r>
              <w:rPr>
                <w:color w:val="333333"/>
                <w:sz w:val="19"/>
              </w:rPr>
            </w:r>
          </w:p>
        </w:tc>
        <w:tc>
          <w:tcPr>
            <w:tcW w:type="dxa" w:w="1984"/>
            <w:shd w:val="clear" w:color="auto" w:fill="FFFFFF"/>
          </w:tcPr>
          <w:p>
            <w:pPr>
              <w:jc w:val="right"/>
            </w:pPr>
            <w:r>
              <w:rPr>
                <w:color w:val="333333"/>
                <w:sz w:val="19"/>
              </w:rPr>
            </w:r>
          </w:p>
        </w:tc>
        <w:tc>
          <w:tcPr>
            <w:tcW w:type="dxa" w:w="2551"/>
            <w:shd w:val="clear" w:color="auto" w:fill="FFFFFF"/>
          </w:tcPr>
          <w:p>
            <w:pPr>
              <w:jc w:val="right"/>
            </w:pPr>
            <w:r>
              <w:rPr>
                <w:color w:val="333333"/>
                <w:sz w:val="19"/>
              </w:rPr>
              <w:t>$1,613,567</w:t>
            </w:r>
          </w:p>
        </w:tc>
        <w:tc>
          <w:tcPr>
            <w:tcW w:type="dxa" w:w="1984"/>
            <w:shd w:val="clear" w:color="auto" w:fill="FFFFFF"/>
          </w:tcPr>
          <w:p>
            <w:pPr>
              <w:jc w:val="right"/>
            </w:pPr>
            <w:r>
              <w:rPr>
                <w:color w:val="333333"/>
                <w:sz w:val="19"/>
              </w:rPr>
              <w:t>$420,648</w:t>
            </w:r>
          </w:p>
        </w:tc>
        <w:tc>
          <w:tcPr>
            <w:tcW w:type="dxa" w:w="1984"/>
            <w:shd w:val="clear" w:color="auto" w:fill="FFFFFF"/>
          </w:tcPr>
          <w:p>
            <w:pPr>
              <w:jc w:val="right"/>
            </w:pPr>
            <w:r>
              <w:rPr>
                <w:color w:val="333333"/>
                <w:sz w:val="19"/>
              </w:rPr>
              <w:t>32.4% acum.</w:t>
            </w:r>
          </w:p>
        </w:tc>
      </w:tr>
    </w:tbl>
    <w:p>
      <w:pPr>
        <w:spacing w:after="40"/>
      </w:pPr>
    </w:p>
    <w:p>
      <w:pPr>
        <w:spacing w:before="40" w:after="80"/>
      </w:pPr>
      <w:r>
        <w:rPr>
          <w:b w:val="0"/>
          <w:i/>
          <w:color w:val="444444"/>
          <w:sz w:val="21"/>
        </w:rPr>
        <w:t>Supuestos: crecimiento de matrícula 5-8% anual; incremento de mensualidad 7-8% anual; base de costos crece al 4% anual.</w:t>
      </w:r>
    </w:p>
    <w:p>
      <w:r>
        <w:br w:type="page"/>
      </w:r>
    </w:p>
    <w:tbl>
      <w:tblPr>
        <w:tblW w:type="auto" w:w="0"/>
        <w:jc w:val="center"/>
        <w:tblLook w:firstColumn="1" w:firstRow="1" w:lastColumn="0" w:lastRow="0" w:noHBand="0" w:noVBand="1" w:val="04A0"/>
      </w:tblPr>
      <w:tblGrid>
        <w:gridCol w:w="9066"/>
      </w:tblGrid>
      <w:tr>
        <w:tc>
          <w:tcPr>
            <w:tcW w:type="dxa" w:w="9066"/>
            <w:shd w:val="clear" w:color="auto" w:fill="1A2C5B"/>
            <w:tcMar>
              <w:top w:w="100" w:type="dxa"/>
              <w:bottom w:w="100" w:type="dxa"/>
              <w:left w:w="100" w:type="dxa"/>
              <w:right w:w="100" w:type="dxa"/>
            </w:tcMar>
          </w:tcPr>
          <w:p>
            <w:pPr>
              <w:spacing w:before="40" w:after="40"/>
              <w:jc w:val="center"/>
            </w:pPr>
            <w:r>
              <w:rPr>
                <w:b/>
                <w:color w:val="FFFFFF"/>
                <w:sz w:val="30"/>
              </w:rPr>
              <w:t>8 · ESTRUCTURA PROPUESTA DEL NEGOCIO</w:t>
            </w:r>
          </w:p>
        </w:tc>
      </w:tr>
    </w:tbl>
    <w:p>
      <w:pPr>
        <w:spacing w:after="40"/>
      </w:pPr>
    </w:p>
    <w:p>
      <w:pPr>
        <w:spacing w:before="200" w:after="60"/>
        <w:pBdr>
          <w:bottom w:val="single" w:sz="6" w:space="1" w:color="1A2C5B"/>
        </w:pBdr>
      </w:pPr>
      <w:r>
        <w:rPr>
          <w:b/>
          <w:color w:val="1A2C5B"/>
          <w:sz w:val="22"/>
        </w:rPr>
        <w:t>8.1  OPCIONES DE TRANSACCIÓN</w:t>
      </w:r>
    </w:p>
    <w:tbl>
      <w:tblPr>
        <w:tblStyle w:val="TableGrid"/>
        <w:tblW w:type="auto" w:w="0"/>
        <w:tblLook w:firstColumn="1" w:firstRow="1" w:lastColumn="0" w:lastRow="0" w:noHBand="0" w:noVBand="1" w:val="04A0"/>
      </w:tblPr>
      <w:tblGrid>
        <w:gridCol w:w="2266"/>
        <w:gridCol w:w="2266"/>
        <w:gridCol w:w="2266"/>
        <w:gridCol w:w="2266"/>
      </w:tblGrid>
      <w:tr>
        <w:tc>
          <w:tcPr>
            <w:tcW w:type="dxa" w:w="1984"/>
            <w:shd w:val="clear" w:color="auto" w:fill="1A2C5B"/>
          </w:tcPr>
          <w:p>
            <w:pPr>
              <w:jc w:val="center"/>
            </w:pPr>
            <w:r>
              <w:rPr>
                <w:b/>
                <w:color w:val="FFFFFF"/>
                <w:sz w:val="19"/>
              </w:rPr>
              <w:t>Opción</w:t>
            </w:r>
          </w:p>
        </w:tc>
        <w:tc>
          <w:tcPr>
            <w:tcW w:type="dxa" w:w="3402"/>
            <w:shd w:val="clear" w:color="auto" w:fill="1A2C5B"/>
          </w:tcPr>
          <w:p>
            <w:pPr>
              <w:jc w:val="center"/>
            </w:pPr>
            <w:r>
              <w:rPr>
                <w:b/>
                <w:color w:val="FFFFFF"/>
                <w:sz w:val="19"/>
              </w:rPr>
              <w:t>Descripción</w:t>
            </w:r>
          </w:p>
        </w:tc>
        <w:tc>
          <w:tcPr>
            <w:tcW w:type="dxa" w:w="2268"/>
            <w:shd w:val="clear" w:color="auto" w:fill="1A2C5B"/>
          </w:tcPr>
          <w:p>
            <w:pPr>
              <w:jc w:val="center"/>
            </w:pPr>
            <w:r>
              <w:rPr>
                <w:b/>
                <w:color w:val="FFFFFF"/>
                <w:sz w:val="19"/>
              </w:rPr>
              <w:t>Riesgo para el Inversor</w:t>
            </w:r>
          </w:p>
        </w:tc>
        <w:tc>
          <w:tcPr>
            <w:tcW w:type="dxa" w:w="3118"/>
            <w:shd w:val="clear" w:color="auto" w:fill="1A2C5B"/>
          </w:tcPr>
          <w:p>
            <w:pPr>
              <w:jc w:val="center"/>
            </w:pPr>
            <w:r>
              <w:rPr>
                <w:b/>
                <w:color w:val="FFFFFF"/>
                <w:sz w:val="19"/>
              </w:rPr>
              <w:t>Ventajas</w:t>
            </w:r>
          </w:p>
        </w:tc>
      </w:tr>
      <w:tr>
        <w:tc>
          <w:tcPr>
            <w:tcW w:type="dxa" w:w="1984"/>
            <w:shd w:val="clear" w:color="auto" w:fill="F0F4FA"/>
          </w:tcPr>
          <w:p>
            <w:pPr>
              <w:jc w:val="left"/>
            </w:pPr>
            <w:r>
              <w:rPr>
                <w:b/>
                <w:color w:val="1A2C5B"/>
                <w:sz w:val="19"/>
              </w:rPr>
              <w:t>Opción A — Adquisición Total</w:t>
            </w:r>
          </w:p>
        </w:tc>
        <w:tc>
          <w:tcPr>
            <w:tcW w:type="dxa" w:w="3402"/>
            <w:shd w:val="clear" w:color="auto" w:fill="F0F4FA"/>
          </w:tcPr>
          <w:p>
            <w:pPr>
              <w:jc w:val="right"/>
            </w:pPr>
            <w:r>
              <w:rPr>
                <w:color w:val="333333"/>
                <w:sz w:val="19"/>
              </w:rPr>
              <w:t>Transferencia del 100% de activos: terreno, edificio, marca, matrícula, IP, contratos de personal</w:t>
            </w:r>
          </w:p>
        </w:tc>
        <w:tc>
          <w:tcPr>
            <w:tcW w:type="dxa" w:w="2268"/>
            <w:shd w:val="clear" w:color="auto" w:fill="F0F4FA"/>
          </w:tcPr>
          <w:p>
            <w:pPr>
              <w:jc w:val="right"/>
            </w:pPr>
            <w:r>
              <w:rPr>
                <w:color w:val="333333"/>
                <w:sz w:val="19"/>
              </w:rPr>
              <w:t>Capital total en riesgo</w:t>
            </w:r>
          </w:p>
        </w:tc>
        <w:tc>
          <w:tcPr>
            <w:tcW w:type="dxa" w:w="3118"/>
            <w:shd w:val="clear" w:color="auto" w:fill="F0F4FA"/>
          </w:tcPr>
          <w:p>
            <w:pPr>
              <w:jc w:val="right"/>
            </w:pPr>
            <w:r>
              <w:rPr>
                <w:color w:val="333333"/>
                <w:sz w:val="19"/>
              </w:rPr>
              <w:t>100% del retorno; control pleno</w:t>
            </w:r>
          </w:p>
        </w:tc>
      </w:tr>
      <w:tr>
        <w:tc>
          <w:tcPr>
            <w:tcW w:type="dxa" w:w="1984"/>
            <w:shd w:val="clear" w:color="auto" w:fill="FFFFFF"/>
          </w:tcPr>
          <w:p>
            <w:pPr>
              <w:jc w:val="left"/>
            </w:pPr>
            <w:r>
              <w:rPr>
                <w:b/>
                <w:color w:val="1A2C5B"/>
                <w:sz w:val="19"/>
              </w:rPr>
              <w:t>Opción B — Participación Mayoritaria</w:t>
            </w:r>
          </w:p>
        </w:tc>
        <w:tc>
          <w:tcPr>
            <w:tcW w:type="dxa" w:w="3402"/>
            <w:shd w:val="clear" w:color="auto" w:fill="FFFFFF"/>
          </w:tcPr>
          <w:p>
            <w:pPr>
              <w:jc w:val="right"/>
            </w:pPr>
            <w:r>
              <w:rPr>
                <w:color w:val="333333"/>
                <w:sz w:val="19"/>
              </w:rPr>
              <w:t>Inversor adquiere 70-80%; propietario actual retiene 20-30% de capital</w:t>
            </w:r>
          </w:p>
        </w:tc>
        <w:tc>
          <w:tcPr>
            <w:tcW w:type="dxa" w:w="2268"/>
            <w:shd w:val="clear" w:color="auto" w:fill="FFFFFF"/>
          </w:tcPr>
          <w:p>
            <w:pPr>
              <w:jc w:val="right"/>
            </w:pPr>
            <w:r>
              <w:rPr>
                <w:color w:val="333333"/>
                <w:sz w:val="19"/>
              </w:rPr>
              <w:t>Menor desembolso de capital</w:t>
            </w:r>
          </w:p>
        </w:tc>
        <w:tc>
          <w:tcPr>
            <w:tcW w:type="dxa" w:w="3118"/>
            <w:shd w:val="clear" w:color="auto" w:fill="FFFFFF"/>
          </w:tcPr>
          <w:p>
            <w:pPr>
              <w:jc w:val="right"/>
            </w:pPr>
            <w:r>
              <w:rPr>
                <w:color w:val="333333"/>
                <w:sz w:val="19"/>
              </w:rPr>
              <w:t>Incentivos alineados; vendedor mantiene participación</w:t>
            </w:r>
          </w:p>
        </w:tc>
      </w:tr>
      <w:tr>
        <w:tc>
          <w:tcPr>
            <w:tcW w:type="dxa" w:w="1984"/>
            <w:shd w:val="clear" w:color="auto" w:fill="F0F4FA"/>
          </w:tcPr>
          <w:p>
            <w:pPr>
              <w:jc w:val="left"/>
            </w:pPr>
            <w:r>
              <w:rPr>
                <w:b/>
                <w:color w:val="1A2C5B"/>
                <w:sz w:val="19"/>
              </w:rPr>
              <w:t>Opción C — Compra en Cuotas</w:t>
            </w:r>
          </w:p>
        </w:tc>
        <w:tc>
          <w:tcPr>
            <w:tcW w:type="dxa" w:w="3402"/>
            <w:shd w:val="clear" w:color="auto" w:fill="F0F4FA"/>
          </w:tcPr>
          <w:p>
            <w:pPr>
              <w:jc w:val="right"/>
            </w:pPr>
            <w:r>
              <w:rPr>
                <w:color w:val="333333"/>
                <w:sz w:val="19"/>
              </w:rPr>
              <w:t>Pago inicial + financiamiento del vendedor a 3-5 años con tasa de interés acordada</w:t>
            </w:r>
          </w:p>
        </w:tc>
        <w:tc>
          <w:tcPr>
            <w:tcW w:type="dxa" w:w="2268"/>
            <w:shd w:val="clear" w:color="auto" w:fill="F0F4FA"/>
          </w:tcPr>
          <w:p>
            <w:pPr>
              <w:jc w:val="right"/>
            </w:pPr>
            <w:r>
              <w:rPr>
                <w:color w:val="333333"/>
                <w:sz w:val="19"/>
              </w:rPr>
              <w:t>Despliegue faseado de capital</w:t>
            </w:r>
          </w:p>
        </w:tc>
        <w:tc>
          <w:tcPr>
            <w:tcW w:type="dxa" w:w="3118"/>
            <w:shd w:val="clear" w:color="auto" w:fill="F0F4FA"/>
          </w:tcPr>
          <w:p>
            <w:pPr>
              <w:jc w:val="right"/>
            </w:pPr>
            <w:r>
              <w:rPr>
                <w:color w:val="333333"/>
                <w:sz w:val="19"/>
              </w:rPr>
              <w:t>El flujo de caja operativo amortiza la deuda de adquisición</w:t>
            </w:r>
          </w:p>
        </w:tc>
      </w:tr>
    </w:tbl>
    <w:p>
      <w:pPr>
        <w:spacing w:after="40"/>
      </w:pPr>
    </w:p>
    <w:p>
      <w:pPr>
        <w:spacing w:before="200" w:after="60"/>
        <w:pBdr>
          <w:bottom w:val="single" w:sz="6" w:space="1" w:color="1A2C5B"/>
        </w:pBdr>
      </w:pPr>
      <w:r>
        <w:rPr>
          <w:b/>
          <w:color w:val="1A2C5B"/>
          <w:sz w:val="22"/>
        </w:rPr>
        <w:t>8.2  TÉRMINOS DEL CONTRATO DE EMPLEO DEL CEO</w:t>
      </w:r>
    </w:p>
    <w:p>
      <w:pPr>
        <w:pStyle w:val="ListBullet"/>
        <w:spacing w:before="20" w:after="40"/>
        <w:ind w:left="432"/>
      </w:pPr>
      <w:r>
        <w:rPr>
          <w:color w:val="444444"/>
          <w:sz w:val="21"/>
        </w:rPr>
        <w:t>Vigencia: contrato inicial de 3 años, renovable anualmente</w:t>
      </w:r>
    </w:p>
    <w:p>
      <w:pPr>
        <w:pStyle w:val="ListBullet"/>
        <w:spacing w:before="20" w:after="40"/>
        <w:ind w:left="432"/>
      </w:pPr>
      <w:r>
        <w:rPr>
          <w:color w:val="444444"/>
          <w:sz w:val="21"/>
        </w:rPr>
        <w:t>Compensación: USD 4,500/mes salario base</w:t>
      </w:r>
    </w:p>
    <w:p>
      <w:pPr>
        <w:pStyle w:val="ListBullet"/>
        <w:spacing w:before="20" w:after="40"/>
        <w:ind w:left="432"/>
      </w:pPr>
      <w:r>
        <w:rPr>
          <w:color w:val="444444"/>
          <w:sz w:val="21"/>
        </w:rPr>
        <w:t>Bono por desempeño: hasta el 10% del EBITDA anual por encima de la proyección base</w:t>
      </w:r>
    </w:p>
    <w:p>
      <w:pPr>
        <w:pStyle w:val="ListBullet"/>
        <w:spacing w:before="20" w:after="40"/>
        <w:ind w:left="432"/>
      </w:pPr>
      <w:r>
        <w:rPr>
          <w:color w:val="444444"/>
          <w:sz w:val="21"/>
        </w:rPr>
        <w:t>No competencia: 3 años, radio de 50 km desde El Tigre</w:t>
      </w:r>
    </w:p>
    <w:p>
      <w:pPr>
        <w:pStyle w:val="ListBullet"/>
        <w:spacing w:before="20" w:after="40"/>
        <w:ind w:left="432"/>
      </w:pPr>
      <w:r>
        <w:rPr>
          <w:color w:val="444444"/>
          <w:sz w:val="21"/>
        </w:rPr>
        <w:t>Transición: el CEO se compromete a tiempo completo durante el período de entrega de 6 meses, independientemente de la fecha de inicio del contrato</w:t>
      </w:r>
    </w:p>
    <w:p>
      <w:pPr>
        <w:spacing w:before="200" w:after="60"/>
        <w:pBdr>
          <w:bottom w:val="single" w:sz="6" w:space="1" w:color="1A2C5B"/>
        </w:pBdr>
      </w:pPr>
      <w:r>
        <w:rPr>
          <w:b/>
          <w:color w:val="1A2C5B"/>
          <w:sz w:val="22"/>
        </w:rPr>
        <w:t>8.3  LISTA DE VERIFICACIÓN PARA LA DEBIDA DILIGENCIA</w:t>
      </w:r>
    </w:p>
    <w:p>
      <w:pPr>
        <w:pStyle w:val="ListBullet"/>
        <w:spacing w:before="20" w:after="40"/>
        <w:ind w:left="432"/>
      </w:pPr>
      <w:r>
        <w:rPr>
          <w:color w:val="444444"/>
          <w:sz w:val="21"/>
        </w:rPr>
        <w:t>Estados financieros auditados de 3 años (o cuentas internas)</w:t>
      </w:r>
    </w:p>
    <w:p>
      <w:pPr>
        <w:pStyle w:val="ListBullet"/>
        <w:spacing w:before="20" w:after="40"/>
        <w:ind w:left="432"/>
      </w:pPr>
      <w:r>
        <w:rPr>
          <w:color w:val="444444"/>
          <w:sz w:val="21"/>
        </w:rPr>
        <w:t>Certificados de acreditación MPPE — todos los niveles académicos</w:t>
      </w:r>
    </w:p>
    <w:p>
      <w:pPr>
        <w:pStyle w:val="ListBullet"/>
        <w:spacing w:before="20" w:after="40"/>
        <w:ind w:left="432"/>
      </w:pPr>
      <w:r>
        <w:rPr>
          <w:color w:val="444444"/>
          <w:sz w:val="21"/>
        </w:rPr>
        <w:t>Escrituras de propiedad y registro de tierras</w:t>
      </w:r>
    </w:p>
    <w:p>
      <w:pPr>
        <w:pStyle w:val="ListBullet"/>
        <w:spacing w:before="20" w:after="40"/>
        <w:ind w:left="432"/>
      </w:pPr>
      <w:r>
        <w:rPr>
          <w:color w:val="444444"/>
          <w:sz w:val="21"/>
        </w:rPr>
        <w:t>Registros de matrícula — 3 años históricos y nómina del año en curso</w:t>
      </w:r>
    </w:p>
    <w:p>
      <w:pPr>
        <w:pStyle w:val="ListBullet"/>
        <w:spacing w:before="20" w:after="40"/>
        <w:ind w:left="432"/>
      </w:pPr>
      <w:r>
        <w:rPr>
          <w:color w:val="444444"/>
          <w:sz w:val="21"/>
        </w:rPr>
        <w:t>Contratos laborales y estado de cumplimiento IVSS/FAOV/INCES</w:t>
      </w:r>
    </w:p>
    <w:p>
      <w:pPr>
        <w:pStyle w:val="ListBullet"/>
        <w:spacing w:before="20" w:after="40"/>
        <w:ind w:left="432"/>
      </w:pPr>
      <w:r>
        <w:rPr>
          <w:color w:val="444444"/>
          <w:sz w:val="21"/>
        </w:rPr>
        <w:t>Pasivos pendientes: atrasos IVSS, deudas bancarias, obligaciones laborales</w:t>
      </w:r>
    </w:p>
    <w:p>
      <w:pPr>
        <w:pStyle w:val="ListBullet"/>
        <w:spacing w:before="20" w:after="40"/>
        <w:ind w:left="432"/>
      </w:pPr>
      <w:r>
        <w:rPr>
          <w:color w:val="444444"/>
          <w:sz w:val="21"/>
        </w:rPr>
        <w:t>Plan de cumplimiento de salario mínimo para los 2 empleados por debajo del umbral</w:t>
      </w:r>
    </w:p>
    <w:p>
      <w:pPr>
        <w:pStyle w:val="ListBullet"/>
        <w:spacing w:before="20" w:after="40"/>
        <w:ind w:left="432"/>
      </w:pPr>
      <w:r>
        <w:rPr>
          <w:color w:val="444444"/>
          <w:sz w:val="21"/>
        </w:rPr>
        <w:t>Inventario de sistemas TI — licencias Odoo, dominio, infraestructura de servidores</w:t>
      </w:r>
    </w:p>
    <w:p>
      <w:r>
        <w:br w:type="page"/>
      </w:r>
    </w:p>
    <w:tbl>
      <w:tblPr>
        <w:tblW w:type="auto" w:w="0"/>
        <w:jc w:val="center"/>
        <w:tblLook w:firstColumn="1" w:firstRow="1" w:lastColumn="0" w:lastRow="0" w:noHBand="0" w:noVBand="1" w:val="04A0"/>
      </w:tblPr>
      <w:tblGrid>
        <w:gridCol w:w="9066"/>
      </w:tblGrid>
      <w:tr>
        <w:tc>
          <w:tcPr>
            <w:tcW w:type="dxa" w:w="9066"/>
            <w:shd w:val="clear" w:color="auto" w:fill="1A2C5B"/>
            <w:tcMar>
              <w:top w:w="100" w:type="dxa"/>
              <w:bottom w:w="100" w:type="dxa"/>
              <w:left w:w="100" w:type="dxa"/>
              <w:right w:w="100" w:type="dxa"/>
            </w:tcMar>
          </w:tcPr>
          <w:p>
            <w:pPr>
              <w:spacing w:before="40" w:after="40"/>
              <w:jc w:val="center"/>
            </w:pPr>
            <w:r>
              <w:rPr>
                <w:b/>
                <w:color w:val="FFFFFF"/>
                <w:sz w:val="30"/>
              </w:rPr>
              <w:t>9 · APÉNDICE — DATOS DE SOPORTE</w:t>
            </w:r>
          </w:p>
        </w:tc>
      </w:tr>
    </w:tbl>
    <w:p>
      <w:pPr>
        <w:spacing w:after="40"/>
      </w:pPr>
    </w:p>
    <w:p>
      <w:pPr>
        <w:spacing w:before="200" w:after="60"/>
        <w:pBdr>
          <w:bottom w:val="single" w:sz="6" w:space="1" w:color="1A2C5B"/>
        </w:pBdr>
      </w:pPr>
      <w:r>
        <w:rPr>
          <w:b/>
          <w:color w:val="1A2C5B"/>
          <w:sz w:val="22"/>
        </w:rPr>
        <w:t>A · NÓMINA MENSUAL ACTUAL POR EMPLEADO</w:t>
      </w:r>
    </w:p>
    <w:p>
      <w:pPr>
        <w:spacing w:before="40" w:after="80"/>
      </w:pPr>
      <w:r>
        <w:rPr>
          <w:b w:val="0"/>
          <w:i w:val="0"/>
          <w:color w:val="444444"/>
          <w:sz w:val="21"/>
        </w:rPr>
        <w:t>Fuente: hoja NOMINA 26-27 — compensación actual en USD/mes, antes de incrementos propuestos.</w:t>
      </w:r>
    </w:p>
    <w:tbl>
      <w:tblPr>
        <w:tblStyle w:val="TableGrid"/>
        <w:tblW w:type="auto" w:w="0"/>
        <w:tblLook w:firstColumn="1" w:firstRow="1" w:lastColumn="0" w:lastRow="0" w:noHBand="0" w:noVBand="1" w:val="04A0"/>
      </w:tblPr>
      <w:tblGrid>
        <w:gridCol w:w="4533"/>
        <w:gridCol w:w="4533"/>
      </w:tblGrid>
      <w:tr>
        <w:tc>
          <w:tcPr>
            <w:tcW w:type="dxa" w:w="5669"/>
            <w:shd w:val="clear" w:color="auto" w:fill="1A2C5B"/>
          </w:tcPr>
          <w:p>
            <w:pPr>
              <w:jc w:val="center"/>
            </w:pPr>
            <w:r>
              <w:rPr>
                <w:b/>
                <w:color w:val="FFFFFF"/>
                <w:sz w:val="19"/>
              </w:rPr>
              <w:t>Empleado</w:t>
            </w:r>
          </w:p>
        </w:tc>
        <w:tc>
          <w:tcPr>
            <w:tcW w:type="dxa" w:w="2835"/>
            <w:shd w:val="clear" w:color="auto" w:fill="1A2C5B"/>
          </w:tcPr>
          <w:p>
            <w:pPr>
              <w:jc w:val="center"/>
            </w:pPr>
            <w:r>
              <w:rPr>
                <w:b/>
                <w:color w:val="FFFFFF"/>
                <w:sz w:val="19"/>
              </w:rPr>
              <w:t>Ingreso Mensual (USD)</w:t>
            </w:r>
          </w:p>
        </w:tc>
      </w:tr>
      <w:tr>
        <w:tc>
          <w:tcPr>
            <w:tcW w:type="dxa" w:w="5669"/>
            <w:shd w:val="clear" w:color="auto" w:fill="F0F4FA"/>
          </w:tcPr>
          <w:p>
            <w:pPr>
              <w:jc w:val="left"/>
            </w:pPr>
            <w:r>
              <w:rPr>
                <w:b/>
                <w:color w:val="1A2C5B"/>
                <w:sz w:val="19"/>
              </w:rPr>
              <w:t>ALEJANDRA LOPEZ</w:t>
            </w:r>
          </w:p>
        </w:tc>
        <w:tc>
          <w:tcPr>
            <w:tcW w:type="dxa" w:w="2835"/>
            <w:shd w:val="clear" w:color="auto" w:fill="F0F4FA"/>
          </w:tcPr>
          <w:p>
            <w:pPr>
              <w:jc w:val="right"/>
            </w:pPr>
            <w:r>
              <w:rPr>
                <w:color w:val="333333"/>
                <w:sz w:val="19"/>
              </w:rPr>
              <w:t>$324.90</w:t>
            </w:r>
          </w:p>
        </w:tc>
      </w:tr>
      <w:tr>
        <w:tc>
          <w:tcPr>
            <w:tcW w:type="dxa" w:w="5669"/>
            <w:shd w:val="clear" w:color="auto" w:fill="FFFFFF"/>
          </w:tcPr>
          <w:p>
            <w:pPr>
              <w:jc w:val="left"/>
            </w:pPr>
            <w:r>
              <w:rPr>
                <w:b/>
                <w:color w:val="1A2C5B"/>
                <w:sz w:val="19"/>
              </w:rPr>
              <w:t>ANDRES MORALES</w:t>
            </w:r>
          </w:p>
        </w:tc>
        <w:tc>
          <w:tcPr>
            <w:tcW w:type="dxa" w:w="2835"/>
            <w:shd w:val="clear" w:color="auto" w:fill="FFFFFF"/>
          </w:tcPr>
          <w:p>
            <w:pPr>
              <w:jc w:val="right"/>
            </w:pPr>
            <w:r>
              <w:rPr>
                <w:color w:val="333333"/>
                <w:sz w:val="19"/>
              </w:rPr>
              <w:t>$289.10</w:t>
            </w:r>
          </w:p>
        </w:tc>
      </w:tr>
      <w:tr>
        <w:tc>
          <w:tcPr>
            <w:tcW w:type="dxa" w:w="5669"/>
            <w:shd w:val="clear" w:color="auto" w:fill="F0F4FA"/>
          </w:tcPr>
          <w:p>
            <w:pPr>
              <w:jc w:val="left"/>
            </w:pPr>
            <w:r>
              <w:rPr>
                <w:b/>
                <w:color w:val="1A2C5B"/>
                <w:sz w:val="19"/>
              </w:rPr>
              <w:t>ARCIDES ARZOLA</w:t>
            </w:r>
          </w:p>
        </w:tc>
        <w:tc>
          <w:tcPr>
            <w:tcW w:type="dxa" w:w="2835"/>
            <w:shd w:val="clear" w:color="auto" w:fill="F0F4FA"/>
          </w:tcPr>
          <w:p>
            <w:pPr>
              <w:jc w:val="right"/>
            </w:pPr>
            <w:r>
              <w:rPr>
                <w:color w:val="333333"/>
                <w:sz w:val="19"/>
              </w:rPr>
              <w:t>$574.91</w:t>
            </w:r>
          </w:p>
        </w:tc>
      </w:tr>
      <w:tr>
        <w:tc>
          <w:tcPr>
            <w:tcW w:type="dxa" w:w="5669"/>
            <w:shd w:val="clear" w:color="auto" w:fill="FFFFFF"/>
          </w:tcPr>
          <w:p>
            <w:pPr>
              <w:jc w:val="left"/>
            </w:pPr>
            <w:r>
              <w:rPr>
                <w:b/>
                <w:color w:val="1A2C5B"/>
                <w:sz w:val="19"/>
              </w:rPr>
              <w:t>AUDREY GARCIA</w:t>
            </w:r>
          </w:p>
        </w:tc>
        <w:tc>
          <w:tcPr>
            <w:tcW w:type="dxa" w:w="2835"/>
            <w:shd w:val="clear" w:color="auto" w:fill="FFFFFF"/>
          </w:tcPr>
          <w:p>
            <w:pPr>
              <w:jc w:val="right"/>
            </w:pPr>
            <w:r>
              <w:rPr>
                <w:color w:val="333333"/>
                <w:sz w:val="19"/>
              </w:rPr>
              <w:t>$270.39</w:t>
            </w:r>
          </w:p>
        </w:tc>
      </w:tr>
      <w:tr>
        <w:tc>
          <w:tcPr>
            <w:tcW w:type="dxa" w:w="5669"/>
            <w:shd w:val="clear" w:color="auto" w:fill="F0F4FA"/>
          </w:tcPr>
          <w:p>
            <w:pPr>
              <w:jc w:val="left"/>
            </w:pPr>
            <w:r>
              <w:rPr>
                <w:b/>
                <w:color w:val="1A2C5B"/>
                <w:sz w:val="19"/>
              </w:rPr>
              <w:t>CAMILA ROSSATO</w:t>
            </w:r>
          </w:p>
        </w:tc>
        <w:tc>
          <w:tcPr>
            <w:tcW w:type="dxa" w:w="2835"/>
            <w:shd w:val="clear" w:color="auto" w:fill="F0F4FA"/>
          </w:tcPr>
          <w:p>
            <w:pPr>
              <w:jc w:val="right"/>
            </w:pPr>
            <w:r>
              <w:rPr>
                <w:color w:val="333333"/>
                <w:sz w:val="19"/>
              </w:rPr>
              <w:t>$339.08</w:t>
            </w:r>
          </w:p>
        </w:tc>
      </w:tr>
      <w:tr>
        <w:tc>
          <w:tcPr>
            <w:tcW w:type="dxa" w:w="5669"/>
            <w:shd w:val="clear" w:color="auto" w:fill="FFFFFF"/>
          </w:tcPr>
          <w:p>
            <w:pPr>
              <w:jc w:val="left"/>
            </w:pPr>
            <w:r>
              <w:rPr>
                <w:b/>
                <w:color w:val="1A2C5B"/>
                <w:sz w:val="19"/>
              </w:rPr>
              <w:t>Daniel Bongianni</w:t>
            </w:r>
          </w:p>
        </w:tc>
        <w:tc>
          <w:tcPr>
            <w:tcW w:type="dxa" w:w="2835"/>
            <w:shd w:val="clear" w:color="auto" w:fill="FFFFFF"/>
          </w:tcPr>
          <w:p>
            <w:pPr>
              <w:jc w:val="right"/>
            </w:pPr>
            <w:r>
              <w:rPr>
                <w:color w:val="333333"/>
                <w:sz w:val="19"/>
              </w:rPr>
              <w:t>$315.70</w:t>
            </w:r>
          </w:p>
        </w:tc>
      </w:tr>
      <w:tr>
        <w:tc>
          <w:tcPr>
            <w:tcW w:type="dxa" w:w="5669"/>
            <w:shd w:val="clear" w:color="auto" w:fill="F0F4FA"/>
          </w:tcPr>
          <w:p>
            <w:pPr>
              <w:jc w:val="left"/>
            </w:pPr>
            <w:r>
              <w:rPr>
                <w:b/>
                <w:color w:val="1A2C5B"/>
                <w:sz w:val="19"/>
              </w:rPr>
              <w:t>DAVID HERNANDEZ</w:t>
            </w:r>
          </w:p>
        </w:tc>
        <w:tc>
          <w:tcPr>
            <w:tcW w:type="dxa" w:w="2835"/>
            <w:shd w:val="clear" w:color="auto" w:fill="F0F4FA"/>
          </w:tcPr>
          <w:p>
            <w:pPr>
              <w:jc w:val="right"/>
            </w:pPr>
            <w:r>
              <w:rPr>
                <w:color w:val="333333"/>
                <w:sz w:val="19"/>
              </w:rPr>
              <w:t>$532.82</w:t>
            </w:r>
          </w:p>
        </w:tc>
      </w:tr>
      <w:tr>
        <w:tc>
          <w:tcPr>
            <w:tcW w:type="dxa" w:w="5669"/>
            <w:shd w:val="clear" w:color="auto" w:fill="FFFFFF"/>
          </w:tcPr>
          <w:p>
            <w:pPr>
              <w:jc w:val="left"/>
            </w:pPr>
            <w:r>
              <w:rPr>
                <w:b/>
                <w:color w:val="1A2C5B"/>
                <w:sz w:val="19"/>
              </w:rPr>
              <w:t>DIXIA BELLORIN</w:t>
            </w:r>
          </w:p>
        </w:tc>
        <w:tc>
          <w:tcPr>
            <w:tcW w:type="dxa" w:w="2835"/>
            <w:shd w:val="clear" w:color="auto" w:fill="FFFFFF"/>
          </w:tcPr>
          <w:p>
            <w:pPr>
              <w:jc w:val="right"/>
            </w:pPr>
            <w:r>
              <w:rPr>
                <w:color w:val="333333"/>
                <w:sz w:val="19"/>
              </w:rPr>
              <w:t>$307.33</w:t>
            </w:r>
          </w:p>
        </w:tc>
      </w:tr>
      <w:tr>
        <w:tc>
          <w:tcPr>
            <w:tcW w:type="dxa" w:w="5669"/>
            <w:shd w:val="clear" w:color="auto" w:fill="F0F4FA"/>
          </w:tcPr>
          <w:p>
            <w:pPr>
              <w:jc w:val="left"/>
            </w:pPr>
            <w:r>
              <w:rPr>
                <w:b/>
                <w:color w:val="1A2C5B"/>
                <w:sz w:val="19"/>
              </w:rPr>
              <w:t>ELIS MEJIAS</w:t>
            </w:r>
          </w:p>
        </w:tc>
        <w:tc>
          <w:tcPr>
            <w:tcW w:type="dxa" w:w="2835"/>
            <w:shd w:val="clear" w:color="auto" w:fill="F0F4FA"/>
          </w:tcPr>
          <w:p>
            <w:pPr>
              <w:jc w:val="right"/>
            </w:pPr>
            <w:r>
              <w:rPr>
                <w:color w:val="333333"/>
                <w:sz w:val="19"/>
              </w:rPr>
              <w:t>$307.33</w:t>
            </w:r>
          </w:p>
        </w:tc>
      </w:tr>
      <w:tr>
        <w:tc>
          <w:tcPr>
            <w:tcW w:type="dxa" w:w="5669"/>
            <w:shd w:val="clear" w:color="auto" w:fill="FFFFFF"/>
          </w:tcPr>
          <w:p>
            <w:pPr>
              <w:jc w:val="left"/>
            </w:pPr>
            <w:r>
              <w:rPr>
                <w:b/>
                <w:color w:val="1A2C5B"/>
                <w:sz w:val="19"/>
              </w:rPr>
              <w:t>EMILIO ISEA</w:t>
            </w:r>
          </w:p>
        </w:tc>
        <w:tc>
          <w:tcPr>
            <w:tcW w:type="dxa" w:w="2835"/>
            <w:shd w:val="clear" w:color="auto" w:fill="FFFFFF"/>
          </w:tcPr>
          <w:p>
            <w:pPr>
              <w:jc w:val="right"/>
            </w:pPr>
            <w:r>
              <w:rPr>
                <w:color w:val="333333"/>
                <w:sz w:val="19"/>
              </w:rPr>
              <w:t>$336.42</w:t>
            </w:r>
          </w:p>
        </w:tc>
      </w:tr>
      <w:tr>
        <w:tc>
          <w:tcPr>
            <w:tcW w:type="dxa" w:w="5669"/>
            <w:shd w:val="clear" w:color="auto" w:fill="F0F4FA"/>
          </w:tcPr>
          <w:p>
            <w:pPr>
              <w:jc w:val="left"/>
            </w:pPr>
            <w:r>
              <w:rPr>
                <w:b/>
                <w:color w:val="1A2C5B"/>
                <w:sz w:val="19"/>
              </w:rPr>
              <w:t>FLORMAR HERNANDEZ</w:t>
            </w:r>
          </w:p>
        </w:tc>
        <w:tc>
          <w:tcPr>
            <w:tcW w:type="dxa" w:w="2835"/>
            <w:shd w:val="clear" w:color="auto" w:fill="F0F4FA"/>
          </w:tcPr>
          <w:p>
            <w:pPr>
              <w:jc w:val="right"/>
            </w:pPr>
            <w:r>
              <w:rPr>
                <w:color w:val="333333"/>
                <w:sz w:val="19"/>
              </w:rPr>
              <w:t>$420.97</w:t>
            </w:r>
          </w:p>
        </w:tc>
      </w:tr>
      <w:tr>
        <w:tc>
          <w:tcPr>
            <w:tcW w:type="dxa" w:w="5669"/>
            <w:shd w:val="clear" w:color="auto" w:fill="FFFFFF"/>
          </w:tcPr>
          <w:p>
            <w:pPr>
              <w:jc w:val="left"/>
            </w:pPr>
            <w:r>
              <w:rPr>
                <w:b/>
                <w:color w:val="1A2C5B"/>
                <w:sz w:val="19"/>
              </w:rPr>
              <w:t>GABRIEL ESPAÑA</w:t>
            </w:r>
          </w:p>
        </w:tc>
        <w:tc>
          <w:tcPr>
            <w:tcW w:type="dxa" w:w="2835"/>
            <w:shd w:val="clear" w:color="auto" w:fill="FFFFFF"/>
          </w:tcPr>
          <w:p>
            <w:pPr>
              <w:jc w:val="right"/>
            </w:pPr>
            <w:r>
              <w:rPr>
                <w:color w:val="333333"/>
                <w:sz w:val="19"/>
              </w:rPr>
              <w:t>$461.42</w:t>
            </w:r>
          </w:p>
        </w:tc>
      </w:tr>
      <w:tr>
        <w:tc>
          <w:tcPr>
            <w:tcW w:type="dxa" w:w="5669"/>
            <w:shd w:val="clear" w:color="auto" w:fill="F0F4FA"/>
          </w:tcPr>
          <w:p>
            <w:pPr>
              <w:jc w:val="left"/>
            </w:pPr>
            <w:r>
              <w:rPr>
                <w:b/>
                <w:color w:val="1A2C5B"/>
                <w:sz w:val="19"/>
              </w:rPr>
              <w:t>GABRIELA URAY</w:t>
            </w:r>
          </w:p>
        </w:tc>
        <w:tc>
          <w:tcPr>
            <w:tcW w:type="dxa" w:w="2835"/>
            <w:shd w:val="clear" w:color="auto" w:fill="F0F4FA"/>
          </w:tcPr>
          <w:p>
            <w:pPr>
              <w:jc w:val="right"/>
            </w:pPr>
            <w:r>
              <w:rPr>
                <w:color w:val="333333"/>
                <w:sz w:val="19"/>
              </w:rPr>
              <w:t>$307.33</w:t>
            </w:r>
          </w:p>
        </w:tc>
      </w:tr>
      <w:tr>
        <w:tc>
          <w:tcPr>
            <w:tcW w:type="dxa" w:w="5669"/>
            <w:shd w:val="clear" w:color="auto" w:fill="FFFFFF"/>
          </w:tcPr>
          <w:p>
            <w:pPr>
              <w:jc w:val="left"/>
            </w:pPr>
            <w:r>
              <w:rPr>
                <w:b/>
                <w:color w:val="1A2C5B"/>
                <w:sz w:val="19"/>
              </w:rPr>
              <w:t>Giovanni Vezza</w:t>
            </w:r>
          </w:p>
        </w:tc>
        <w:tc>
          <w:tcPr>
            <w:tcW w:type="dxa" w:w="2835"/>
            <w:shd w:val="clear" w:color="auto" w:fill="FFFFFF"/>
          </w:tcPr>
          <w:p>
            <w:pPr>
              <w:jc w:val="right"/>
            </w:pPr>
            <w:r>
              <w:rPr>
                <w:color w:val="333333"/>
                <w:sz w:val="19"/>
              </w:rPr>
              <w:t>$400.19</w:t>
            </w:r>
          </w:p>
        </w:tc>
      </w:tr>
      <w:tr>
        <w:tc>
          <w:tcPr>
            <w:tcW w:type="dxa" w:w="5669"/>
            <w:shd w:val="clear" w:color="auto" w:fill="F0F4FA"/>
          </w:tcPr>
          <w:p>
            <w:pPr>
              <w:jc w:val="left"/>
            </w:pPr>
            <w:r>
              <w:rPr>
                <w:b/>
                <w:color w:val="1A2C5B"/>
                <w:sz w:val="19"/>
              </w:rPr>
              <w:t>GLADYS BRITO CALZADILLA</w:t>
            </w:r>
          </w:p>
        </w:tc>
        <w:tc>
          <w:tcPr>
            <w:tcW w:type="dxa" w:w="2835"/>
            <w:shd w:val="clear" w:color="auto" w:fill="F0F4FA"/>
          </w:tcPr>
          <w:p>
            <w:pPr>
              <w:jc w:val="right"/>
            </w:pPr>
            <w:r>
              <w:rPr>
                <w:color w:val="333333"/>
                <w:sz w:val="19"/>
              </w:rPr>
              <w:t>$436.71</w:t>
            </w:r>
          </w:p>
        </w:tc>
      </w:tr>
      <w:tr>
        <w:tc>
          <w:tcPr>
            <w:tcW w:type="dxa" w:w="5669"/>
            <w:shd w:val="clear" w:color="auto" w:fill="FFFFFF"/>
          </w:tcPr>
          <w:p>
            <w:pPr>
              <w:jc w:val="left"/>
            </w:pPr>
            <w:r>
              <w:rPr>
                <w:b/>
                <w:color w:val="1A2C5B"/>
                <w:sz w:val="19"/>
              </w:rPr>
              <w:t>HEYDI RON</w:t>
            </w:r>
          </w:p>
        </w:tc>
        <w:tc>
          <w:tcPr>
            <w:tcW w:type="dxa" w:w="2835"/>
            <w:shd w:val="clear" w:color="auto" w:fill="FFFFFF"/>
          </w:tcPr>
          <w:p>
            <w:pPr>
              <w:jc w:val="right"/>
            </w:pPr>
            <w:r>
              <w:rPr>
                <w:color w:val="333333"/>
                <w:sz w:val="19"/>
              </w:rPr>
              <w:t>$307.33</w:t>
            </w:r>
          </w:p>
        </w:tc>
      </w:tr>
      <w:tr>
        <w:tc>
          <w:tcPr>
            <w:tcW w:type="dxa" w:w="5669"/>
            <w:shd w:val="clear" w:color="auto" w:fill="F0F4FA"/>
          </w:tcPr>
          <w:p>
            <w:pPr>
              <w:jc w:val="left"/>
            </w:pPr>
            <w:r>
              <w:rPr>
                <w:b/>
                <w:color w:val="1A2C5B"/>
                <w:sz w:val="19"/>
              </w:rPr>
              <w:t>ISMARY ARCILA</w:t>
            </w:r>
          </w:p>
        </w:tc>
        <w:tc>
          <w:tcPr>
            <w:tcW w:type="dxa" w:w="2835"/>
            <w:shd w:val="clear" w:color="auto" w:fill="F0F4FA"/>
          </w:tcPr>
          <w:p>
            <w:pPr>
              <w:jc w:val="right"/>
            </w:pPr>
            <w:r>
              <w:rPr>
                <w:color w:val="333333"/>
                <w:sz w:val="19"/>
              </w:rPr>
              <w:t>$306.35</w:t>
            </w:r>
          </w:p>
        </w:tc>
      </w:tr>
      <w:tr>
        <w:tc>
          <w:tcPr>
            <w:tcW w:type="dxa" w:w="5669"/>
            <w:shd w:val="clear" w:color="auto" w:fill="FFFFFF"/>
          </w:tcPr>
          <w:p>
            <w:pPr>
              <w:jc w:val="left"/>
            </w:pPr>
            <w:r>
              <w:rPr>
                <w:b/>
                <w:color w:val="1A2C5B"/>
                <w:sz w:val="19"/>
              </w:rPr>
              <w:t>Jessica Bolivar</w:t>
            </w:r>
          </w:p>
        </w:tc>
        <w:tc>
          <w:tcPr>
            <w:tcW w:type="dxa" w:w="2835"/>
            <w:shd w:val="clear" w:color="auto" w:fill="FFFFFF"/>
          </w:tcPr>
          <w:p>
            <w:pPr>
              <w:jc w:val="right"/>
            </w:pPr>
            <w:r>
              <w:rPr>
                <w:color w:val="333333"/>
                <w:sz w:val="19"/>
              </w:rPr>
              <w:t>$300.33</w:t>
            </w:r>
          </w:p>
        </w:tc>
      </w:tr>
      <w:tr>
        <w:tc>
          <w:tcPr>
            <w:tcW w:type="dxa" w:w="5669"/>
            <w:shd w:val="clear" w:color="auto" w:fill="F0F4FA"/>
          </w:tcPr>
          <w:p>
            <w:pPr>
              <w:jc w:val="left"/>
            </w:pPr>
            <w:r>
              <w:rPr>
                <w:b/>
                <w:color w:val="1A2C5B"/>
                <w:sz w:val="19"/>
              </w:rPr>
              <w:t>JESUS DI CESARE</w:t>
            </w:r>
          </w:p>
        </w:tc>
        <w:tc>
          <w:tcPr>
            <w:tcW w:type="dxa" w:w="2835"/>
            <w:shd w:val="clear" w:color="auto" w:fill="F0F4FA"/>
          </w:tcPr>
          <w:p>
            <w:pPr>
              <w:jc w:val="right"/>
            </w:pPr>
            <w:r>
              <w:rPr>
                <w:color w:val="333333"/>
                <w:sz w:val="19"/>
              </w:rPr>
              <w:t>$271.87</w:t>
            </w:r>
          </w:p>
        </w:tc>
      </w:tr>
      <w:tr>
        <w:tc>
          <w:tcPr>
            <w:tcW w:type="dxa" w:w="5669"/>
            <w:shd w:val="clear" w:color="auto" w:fill="FFFFFF"/>
          </w:tcPr>
          <w:p>
            <w:pPr>
              <w:jc w:val="left"/>
            </w:pPr>
            <w:r>
              <w:rPr>
                <w:b/>
                <w:color w:val="1A2C5B"/>
                <w:sz w:val="19"/>
              </w:rPr>
              <w:t>JOSÉ HERNÁNDEZ</w:t>
            </w:r>
          </w:p>
        </w:tc>
        <w:tc>
          <w:tcPr>
            <w:tcW w:type="dxa" w:w="2835"/>
            <w:shd w:val="clear" w:color="auto" w:fill="FFFFFF"/>
          </w:tcPr>
          <w:p>
            <w:pPr>
              <w:jc w:val="right"/>
            </w:pPr>
            <w:r>
              <w:rPr>
                <w:color w:val="333333"/>
                <w:sz w:val="19"/>
              </w:rPr>
              <w:t>$491.73</w:t>
            </w:r>
          </w:p>
        </w:tc>
      </w:tr>
      <w:tr>
        <w:tc>
          <w:tcPr>
            <w:tcW w:type="dxa" w:w="5669"/>
            <w:shd w:val="clear" w:color="auto" w:fill="F0F4FA"/>
          </w:tcPr>
          <w:p>
            <w:pPr>
              <w:jc w:val="left"/>
            </w:pPr>
            <w:r>
              <w:rPr>
                <w:b/>
                <w:color w:val="1A2C5B"/>
                <w:sz w:val="19"/>
              </w:rPr>
              <w:t>JOSEFINA RODRIGUEZ</w:t>
            </w:r>
          </w:p>
        </w:tc>
        <w:tc>
          <w:tcPr>
            <w:tcW w:type="dxa" w:w="2835"/>
            <w:shd w:val="clear" w:color="auto" w:fill="F0F4FA"/>
          </w:tcPr>
          <w:p>
            <w:pPr>
              <w:jc w:val="right"/>
            </w:pPr>
            <w:r>
              <w:rPr>
                <w:color w:val="333333"/>
                <w:sz w:val="19"/>
              </w:rPr>
              <w:t>$323.23</w:t>
            </w:r>
          </w:p>
        </w:tc>
      </w:tr>
      <w:tr>
        <w:tc>
          <w:tcPr>
            <w:tcW w:type="dxa" w:w="5669"/>
            <w:shd w:val="clear" w:color="auto" w:fill="FFFFFF"/>
          </w:tcPr>
          <w:p>
            <w:pPr>
              <w:jc w:val="left"/>
            </w:pPr>
            <w:r>
              <w:rPr>
                <w:b/>
                <w:color w:val="1A2C5B"/>
                <w:sz w:val="19"/>
              </w:rPr>
              <w:t>LEIDYMAR ARAY</w:t>
            </w:r>
          </w:p>
        </w:tc>
        <w:tc>
          <w:tcPr>
            <w:tcW w:type="dxa" w:w="2835"/>
            <w:shd w:val="clear" w:color="auto" w:fill="FFFFFF"/>
          </w:tcPr>
          <w:p>
            <w:pPr>
              <w:jc w:val="right"/>
            </w:pPr>
            <w:r>
              <w:rPr>
                <w:color w:val="333333"/>
                <w:sz w:val="19"/>
              </w:rPr>
              <w:t>$268.86</w:t>
            </w:r>
          </w:p>
        </w:tc>
      </w:tr>
      <w:tr>
        <w:tc>
          <w:tcPr>
            <w:tcW w:type="dxa" w:w="5669"/>
            <w:shd w:val="clear" w:color="auto" w:fill="F0F4FA"/>
          </w:tcPr>
          <w:p>
            <w:pPr>
              <w:jc w:val="left"/>
            </w:pPr>
            <w:r>
              <w:rPr>
                <w:b/>
                <w:color w:val="1A2C5B"/>
                <w:sz w:val="19"/>
              </w:rPr>
              <w:t>Lorena Reyes</w:t>
            </w:r>
          </w:p>
        </w:tc>
        <w:tc>
          <w:tcPr>
            <w:tcW w:type="dxa" w:w="2835"/>
            <w:shd w:val="clear" w:color="auto" w:fill="F0F4FA"/>
          </w:tcPr>
          <w:p>
            <w:pPr>
              <w:jc w:val="right"/>
            </w:pPr>
            <w:r>
              <w:rPr>
                <w:color w:val="333333"/>
                <w:sz w:val="19"/>
              </w:rPr>
              <w:t>$354.94</w:t>
            </w:r>
          </w:p>
        </w:tc>
      </w:tr>
      <w:tr>
        <w:tc>
          <w:tcPr>
            <w:tcW w:type="dxa" w:w="5669"/>
            <w:shd w:val="clear" w:color="auto" w:fill="FFFFFF"/>
          </w:tcPr>
          <w:p>
            <w:pPr>
              <w:jc w:val="left"/>
            </w:pPr>
            <w:r>
              <w:rPr>
                <w:b/>
                <w:color w:val="1A2C5B"/>
                <w:sz w:val="19"/>
              </w:rPr>
              <w:t>LUIS RODRIGUEZ</w:t>
            </w:r>
          </w:p>
        </w:tc>
        <w:tc>
          <w:tcPr>
            <w:tcW w:type="dxa" w:w="2835"/>
            <w:shd w:val="clear" w:color="auto" w:fill="FFFFFF"/>
          </w:tcPr>
          <w:p>
            <w:pPr>
              <w:jc w:val="right"/>
            </w:pPr>
            <w:r>
              <w:rPr>
                <w:color w:val="333333"/>
                <w:sz w:val="19"/>
              </w:rPr>
              <w:t>$191.38 ⚠</w:t>
            </w:r>
          </w:p>
        </w:tc>
      </w:tr>
      <w:tr>
        <w:tc>
          <w:tcPr>
            <w:tcW w:type="dxa" w:w="5669"/>
            <w:shd w:val="clear" w:color="auto" w:fill="F0F4FA"/>
          </w:tcPr>
          <w:p>
            <w:pPr>
              <w:jc w:val="left"/>
            </w:pPr>
            <w:r>
              <w:rPr>
                <w:b/>
                <w:color w:val="1A2C5B"/>
                <w:sz w:val="19"/>
              </w:rPr>
              <w:t>LUISA ELENA ABREU</w:t>
            </w:r>
          </w:p>
        </w:tc>
        <w:tc>
          <w:tcPr>
            <w:tcW w:type="dxa" w:w="2835"/>
            <w:shd w:val="clear" w:color="auto" w:fill="F0F4FA"/>
          </w:tcPr>
          <w:p>
            <w:pPr>
              <w:jc w:val="right"/>
            </w:pPr>
            <w:r>
              <w:rPr>
                <w:color w:val="333333"/>
                <w:sz w:val="19"/>
              </w:rPr>
              <w:t>$331.53</w:t>
            </w:r>
          </w:p>
        </w:tc>
      </w:tr>
      <w:tr>
        <w:tc>
          <w:tcPr>
            <w:tcW w:type="dxa" w:w="5669"/>
            <w:shd w:val="clear" w:color="auto" w:fill="FFFFFF"/>
          </w:tcPr>
          <w:p>
            <w:pPr>
              <w:jc w:val="left"/>
            </w:pPr>
            <w:r>
              <w:rPr>
                <w:b/>
                <w:color w:val="1A2C5B"/>
                <w:sz w:val="19"/>
              </w:rPr>
              <w:t>MAGYELYS MATA</w:t>
            </w:r>
          </w:p>
        </w:tc>
        <w:tc>
          <w:tcPr>
            <w:tcW w:type="dxa" w:w="2835"/>
            <w:shd w:val="clear" w:color="auto" w:fill="FFFFFF"/>
          </w:tcPr>
          <w:p>
            <w:pPr>
              <w:jc w:val="right"/>
            </w:pPr>
            <w:r>
              <w:rPr>
                <w:color w:val="333333"/>
                <w:sz w:val="19"/>
              </w:rPr>
              <w:t>$307.33</w:t>
            </w:r>
          </w:p>
        </w:tc>
      </w:tr>
      <w:tr>
        <w:tc>
          <w:tcPr>
            <w:tcW w:type="dxa" w:w="5669"/>
            <w:shd w:val="clear" w:color="auto" w:fill="F0F4FA"/>
          </w:tcPr>
          <w:p>
            <w:pPr>
              <w:jc w:val="left"/>
            </w:pPr>
            <w:r>
              <w:rPr>
                <w:b/>
                <w:color w:val="1A2C5B"/>
                <w:sz w:val="19"/>
              </w:rPr>
              <w:t>MAIRELSY MOTTA</w:t>
            </w:r>
          </w:p>
        </w:tc>
        <w:tc>
          <w:tcPr>
            <w:tcW w:type="dxa" w:w="2835"/>
            <w:shd w:val="clear" w:color="auto" w:fill="F0F4FA"/>
          </w:tcPr>
          <w:p>
            <w:pPr>
              <w:jc w:val="right"/>
            </w:pPr>
            <w:r>
              <w:rPr>
                <w:color w:val="333333"/>
                <w:sz w:val="19"/>
              </w:rPr>
              <w:t>$388.10</w:t>
            </w:r>
          </w:p>
        </w:tc>
      </w:tr>
      <w:tr>
        <w:tc>
          <w:tcPr>
            <w:tcW w:type="dxa" w:w="5669"/>
            <w:shd w:val="clear" w:color="auto" w:fill="FFFFFF"/>
          </w:tcPr>
          <w:p>
            <w:pPr>
              <w:jc w:val="left"/>
            </w:pPr>
            <w:r>
              <w:rPr>
                <w:b/>
                <w:color w:val="1A2C5B"/>
                <w:sz w:val="19"/>
              </w:rPr>
              <w:t>Maria Figuera</w:t>
            </w:r>
          </w:p>
        </w:tc>
        <w:tc>
          <w:tcPr>
            <w:tcW w:type="dxa" w:w="2835"/>
            <w:shd w:val="clear" w:color="auto" w:fill="FFFFFF"/>
          </w:tcPr>
          <w:p>
            <w:pPr>
              <w:jc w:val="right"/>
            </w:pPr>
            <w:r>
              <w:rPr>
                <w:color w:val="333333"/>
                <w:sz w:val="19"/>
              </w:rPr>
              <w:t>$302.35</w:t>
            </w:r>
          </w:p>
        </w:tc>
      </w:tr>
      <w:tr>
        <w:tc>
          <w:tcPr>
            <w:tcW w:type="dxa" w:w="5669"/>
            <w:shd w:val="clear" w:color="auto" w:fill="F0F4FA"/>
          </w:tcPr>
          <w:p>
            <w:pPr>
              <w:jc w:val="left"/>
            </w:pPr>
            <w:r>
              <w:rPr>
                <w:b/>
                <w:color w:val="1A2C5B"/>
                <w:sz w:val="19"/>
              </w:rPr>
              <w:t>MARIA NIETO</w:t>
            </w:r>
          </w:p>
        </w:tc>
        <w:tc>
          <w:tcPr>
            <w:tcW w:type="dxa" w:w="2835"/>
            <w:shd w:val="clear" w:color="auto" w:fill="F0F4FA"/>
          </w:tcPr>
          <w:p>
            <w:pPr>
              <w:jc w:val="right"/>
            </w:pPr>
            <w:r>
              <w:rPr>
                <w:color w:val="333333"/>
                <w:sz w:val="19"/>
              </w:rPr>
              <w:t>$330.24</w:t>
            </w:r>
          </w:p>
        </w:tc>
      </w:tr>
      <w:tr>
        <w:tc>
          <w:tcPr>
            <w:tcW w:type="dxa" w:w="5669"/>
            <w:shd w:val="clear" w:color="auto" w:fill="FFFFFF"/>
          </w:tcPr>
          <w:p>
            <w:pPr>
              <w:jc w:val="left"/>
            </w:pPr>
            <w:r>
              <w:rPr>
                <w:b/>
                <w:color w:val="1A2C5B"/>
                <w:sz w:val="19"/>
              </w:rPr>
              <w:t>MARIELA PRADO</w:t>
            </w:r>
          </w:p>
        </w:tc>
        <w:tc>
          <w:tcPr>
            <w:tcW w:type="dxa" w:w="2835"/>
            <w:shd w:val="clear" w:color="auto" w:fill="FFFFFF"/>
          </w:tcPr>
          <w:p>
            <w:pPr>
              <w:jc w:val="right"/>
            </w:pPr>
            <w:r>
              <w:rPr>
                <w:color w:val="333333"/>
                <w:sz w:val="19"/>
              </w:rPr>
              <w:t>$250.03</w:t>
            </w:r>
          </w:p>
        </w:tc>
      </w:tr>
      <w:tr>
        <w:tc>
          <w:tcPr>
            <w:tcW w:type="dxa" w:w="5669"/>
            <w:shd w:val="clear" w:color="auto" w:fill="F0F4FA"/>
          </w:tcPr>
          <w:p>
            <w:pPr>
              <w:jc w:val="left"/>
            </w:pPr>
            <w:r>
              <w:rPr>
                <w:b/>
                <w:color w:val="1A2C5B"/>
                <w:sz w:val="19"/>
              </w:rPr>
              <w:t>MIRIAN HERNANDEZ</w:t>
            </w:r>
          </w:p>
        </w:tc>
        <w:tc>
          <w:tcPr>
            <w:tcW w:type="dxa" w:w="2835"/>
            <w:shd w:val="clear" w:color="auto" w:fill="F0F4FA"/>
          </w:tcPr>
          <w:p>
            <w:pPr>
              <w:jc w:val="right"/>
            </w:pPr>
            <w:r>
              <w:rPr>
                <w:color w:val="333333"/>
                <w:sz w:val="19"/>
              </w:rPr>
              <w:t>$287.25</w:t>
            </w:r>
          </w:p>
        </w:tc>
      </w:tr>
      <w:tr>
        <w:tc>
          <w:tcPr>
            <w:tcW w:type="dxa" w:w="5669"/>
            <w:shd w:val="clear" w:color="auto" w:fill="FFFFFF"/>
          </w:tcPr>
          <w:p>
            <w:pPr>
              <w:jc w:val="left"/>
            </w:pPr>
            <w:r>
              <w:rPr>
                <w:b/>
                <w:color w:val="1A2C5B"/>
                <w:sz w:val="19"/>
              </w:rPr>
              <w:t>NELCI BRITO</w:t>
            </w:r>
          </w:p>
        </w:tc>
        <w:tc>
          <w:tcPr>
            <w:tcW w:type="dxa" w:w="2835"/>
            <w:shd w:val="clear" w:color="auto" w:fill="FFFFFF"/>
          </w:tcPr>
          <w:p>
            <w:pPr>
              <w:jc w:val="right"/>
            </w:pPr>
            <w:r>
              <w:rPr>
                <w:color w:val="333333"/>
                <w:sz w:val="19"/>
              </w:rPr>
              <w:t>$317.29</w:t>
            </w:r>
          </w:p>
        </w:tc>
      </w:tr>
      <w:tr>
        <w:tc>
          <w:tcPr>
            <w:tcW w:type="dxa" w:w="5669"/>
            <w:shd w:val="clear" w:color="auto" w:fill="F0F4FA"/>
          </w:tcPr>
          <w:p>
            <w:pPr>
              <w:jc w:val="left"/>
            </w:pPr>
            <w:r>
              <w:rPr>
                <w:b/>
                <w:color w:val="1A2C5B"/>
                <w:sz w:val="19"/>
              </w:rPr>
              <w:t>NIDYA LIRA</w:t>
            </w:r>
          </w:p>
        </w:tc>
        <w:tc>
          <w:tcPr>
            <w:tcW w:type="dxa" w:w="2835"/>
            <w:shd w:val="clear" w:color="auto" w:fill="F0F4FA"/>
          </w:tcPr>
          <w:p>
            <w:pPr>
              <w:jc w:val="right"/>
            </w:pPr>
            <w:r>
              <w:rPr>
                <w:color w:val="333333"/>
                <w:sz w:val="19"/>
              </w:rPr>
              <w:t>$228.67 ⚠</w:t>
            </w:r>
          </w:p>
        </w:tc>
      </w:tr>
      <w:tr>
        <w:tc>
          <w:tcPr>
            <w:tcW w:type="dxa" w:w="5669"/>
            <w:shd w:val="clear" w:color="auto" w:fill="FFFFFF"/>
          </w:tcPr>
          <w:p>
            <w:pPr>
              <w:jc w:val="left"/>
            </w:pPr>
            <w:r>
              <w:rPr>
                <w:b/>
                <w:color w:val="1A2C5B"/>
                <w:sz w:val="19"/>
              </w:rPr>
              <w:t>NORKA LA ROSA</w:t>
            </w:r>
          </w:p>
        </w:tc>
        <w:tc>
          <w:tcPr>
            <w:tcW w:type="dxa" w:w="2835"/>
            <w:shd w:val="clear" w:color="auto" w:fill="FFFFFF"/>
          </w:tcPr>
          <w:p>
            <w:pPr>
              <w:jc w:val="right"/>
            </w:pPr>
            <w:r>
              <w:rPr>
                <w:color w:val="333333"/>
                <w:sz w:val="19"/>
              </w:rPr>
              <w:t>$555.07</w:t>
            </w:r>
          </w:p>
        </w:tc>
      </w:tr>
      <w:tr>
        <w:tc>
          <w:tcPr>
            <w:tcW w:type="dxa" w:w="5669"/>
            <w:shd w:val="clear" w:color="auto" w:fill="F0F4FA"/>
          </w:tcPr>
          <w:p>
            <w:pPr>
              <w:jc w:val="left"/>
            </w:pPr>
            <w:r>
              <w:rPr>
                <w:b/>
                <w:color w:val="1A2C5B"/>
                <w:sz w:val="19"/>
              </w:rPr>
              <w:t>PABLO NAVARRO</w:t>
            </w:r>
          </w:p>
        </w:tc>
        <w:tc>
          <w:tcPr>
            <w:tcW w:type="dxa" w:w="2835"/>
            <w:shd w:val="clear" w:color="auto" w:fill="F0F4FA"/>
          </w:tcPr>
          <w:p>
            <w:pPr>
              <w:jc w:val="right"/>
            </w:pPr>
            <w:r>
              <w:rPr>
                <w:color w:val="333333"/>
                <w:sz w:val="19"/>
              </w:rPr>
              <w:t>$277.44</w:t>
            </w:r>
          </w:p>
        </w:tc>
      </w:tr>
      <w:tr>
        <w:tc>
          <w:tcPr>
            <w:tcW w:type="dxa" w:w="5669"/>
            <w:shd w:val="clear" w:color="auto" w:fill="FFFFFF"/>
          </w:tcPr>
          <w:p>
            <w:pPr>
              <w:jc w:val="left"/>
            </w:pPr>
            <w:r>
              <w:rPr>
                <w:b/>
                <w:color w:val="1A2C5B"/>
                <w:sz w:val="19"/>
              </w:rPr>
              <w:t>Rafael Perez</w:t>
            </w:r>
          </w:p>
        </w:tc>
        <w:tc>
          <w:tcPr>
            <w:tcW w:type="dxa" w:w="2835"/>
            <w:shd w:val="clear" w:color="auto" w:fill="FFFFFF"/>
          </w:tcPr>
          <w:p>
            <w:pPr>
              <w:jc w:val="right"/>
            </w:pPr>
            <w:r>
              <w:rPr>
                <w:color w:val="333333"/>
                <w:sz w:val="19"/>
              </w:rPr>
              <w:t>$400.62</w:t>
            </w:r>
          </w:p>
        </w:tc>
      </w:tr>
      <w:tr>
        <w:tc>
          <w:tcPr>
            <w:tcW w:type="dxa" w:w="5669"/>
            <w:shd w:val="clear" w:color="auto" w:fill="F0F4FA"/>
          </w:tcPr>
          <w:p>
            <w:pPr>
              <w:jc w:val="left"/>
            </w:pPr>
            <w:r>
              <w:rPr>
                <w:b/>
                <w:color w:val="1A2C5B"/>
                <w:sz w:val="19"/>
              </w:rPr>
              <w:t>RAMON BELLO</w:t>
            </w:r>
          </w:p>
        </w:tc>
        <w:tc>
          <w:tcPr>
            <w:tcW w:type="dxa" w:w="2835"/>
            <w:shd w:val="clear" w:color="auto" w:fill="F0F4FA"/>
          </w:tcPr>
          <w:p>
            <w:pPr>
              <w:jc w:val="right"/>
            </w:pPr>
            <w:r>
              <w:rPr>
                <w:color w:val="333333"/>
                <w:sz w:val="19"/>
              </w:rPr>
              <w:t>$460.63</w:t>
            </w:r>
          </w:p>
        </w:tc>
      </w:tr>
      <w:tr>
        <w:tc>
          <w:tcPr>
            <w:tcW w:type="dxa" w:w="5669"/>
            <w:shd w:val="clear" w:color="auto" w:fill="FFFFFF"/>
          </w:tcPr>
          <w:p>
            <w:pPr>
              <w:jc w:val="left"/>
            </w:pPr>
            <w:r>
              <w:rPr>
                <w:b/>
                <w:color w:val="1A2C5B"/>
                <w:sz w:val="19"/>
              </w:rPr>
              <w:t>ROBERT QUIJADA</w:t>
            </w:r>
          </w:p>
        </w:tc>
        <w:tc>
          <w:tcPr>
            <w:tcW w:type="dxa" w:w="2835"/>
            <w:shd w:val="clear" w:color="auto" w:fill="FFFFFF"/>
          </w:tcPr>
          <w:p>
            <w:pPr>
              <w:jc w:val="right"/>
            </w:pPr>
            <w:r>
              <w:rPr>
                <w:color w:val="333333"/>
                <w:sz w:val="19"/>
              </w:rPr>
              <w:t>$271.87</w:t>
            </w:r>
          </w:p>
        </w:tc>
      </w:tr>
      <w:tr>
        <w:tc>
          <w:tcPr>
            <w:tcW w:type="dxa" w:w="5669"/>
            <w:shd w:val="clear" w:color="auto" w:fill="F0F4FA"/>
          </w:tcPr>
          <w:p>
            <w:pPr>
              <w:jc w:val="left"/>
            </w:pPr>
            <w:r>
              <w:rPr>
                <w:b/>
                <w:color w:val="1A2C5B"/>
                <w:sz w:val="19"/>
              </w:rPr>
              <w:t>SERGIO MANEIRO</w:t>
            </w:r>
          </w:p>
        </w:tc>
        <w:tc>
          <w:tcPr>
            <w:tcW w:type="dxa" w:w="2835"/>
            <w:shd w:val="clear" w:color="auto" w:fill="F0F4FA"/>
          </w:tcPr>
          <w:p>
            <w:pPr>
              <w:jc w:val="right"/>
            </w:pPr>
            <w:r>
              <w:rPr>
                <w:color w:val="333333"/>
                <w:sz w:val="19"/>
              </w:rPr>
              <w:t>$302.82</w:t>
            </w:r>
          </w:p>
        </w:tc>
      </w:tr>
      <w:tr>
        <w:tc>
          <w:tcPr>
            <w:tcW w:type="dxa" w:w="5669"/>
            <w:shd w:val="clear" w:color="auto" w:fill="FFFFFF"/>
          </w:tcPr>
          <w:p>
            <w:pPr>
              <w:jc w:val="left"/>
            </w:pPr>
            <w:r>
              <w:rPr>
                <w:b/>
                <w:color w:val="1A2C5B"/>
                <w:sz w:val="19"/>
              </w:rPr>
              <w:t>TERESA MARIN</w:t>
            </w:r>
          </w:p>
        </w:tc>
        <w:tc>
          <w:tcPr>
            <w:tcW w:type="dxa" w:w="2835"/>
            <w:shd w:val="clear" w:color="auto" w:fill="FFFFFF"/>
          </w:tcPr>
          <w:p>
            <w:pPr>
              <w:jc w:val="right"/>
            </w:pPr>
            <w:r>
              <w:rPr>
                <w:color w:val="333333"/>
                <w:sz w:val="19"/>
              </w:rPr>
              <w:t>$307.33</w:t>
            </w:r>
          </w:p>
        </w:tc>
      </w:tr>
      <w:tr>
        <w:tc>
          <w:tcPr>
            <w:tcW w:type="dxa" w:w="5669"/>
            <w:shd w:val="clear" w:color="auto" w:fill="F0F4FA"/>
          </w:tcPr>
          <w:p>
            <w:pPr>
              <w:jc w:val="left"/>
            </w:pPr>
            <w:r>
              <w:rPr>
                <w:b/>
                <w:color w:val="1A2C5B"/>
                <w:sz w:val="19"/>
              </w:rPr>
              <w:t>VIRGINIA VERDE</w:t>
            </w:r>
          </w:p>
        </w:tc>
        <w:tc>
          <w:tcPr>
            <w:tcW w:type="dxa" w:w="2835"/>
            <w:shd w:val="clear" w:color="auto" w:fill="F0F4FA"/>
          </w:tcPr>
          <w:p>
            <w:pPr>
              <w:jc w:val="right"/>
            </w:pPr>
            <w:r>
              <w:rPr>
                <w:color w:val="333333"/>
                <w:sz w:val="19"/>
              </w:rPr>
              <w:t>$389.38</w:t>
            </w:r>
          </w:p>
        </w:tc>
      </w:tr>
      <w:tr>
        <w:tc>
          <w:tcPr>
            <w:tcW w:type="dxa" w:w="5669"/>
            <w:shd w:val="clear" w:color="auto" w:fill="FFFFFF"/>
          </w:tcPr>
          <w:p>
            <w:pPr>
              <w:jc w:val="left"/>
            </w:pPr>
            <w:r>
              <w:rPr>
                <w:b/>
                <w:color w:val="1A2C5B"/>
                <w:sz w:val="19"/>
              </w:rPr>
              <w:t>YARITZA BRUCES</w:t>
            </w:r>
          </w:p>
        </w:tc>
        <w:tc>
          <w:tcPr>
            <w:tcW w:type="dxa" w:w="2835"/>
            <w:shd w:val="clear" w:color="auto" w:fill="FFFFFF"/>
          </w:tcPr>
          <w:p>
            <w:pPr>
              <w:jc w:val="right"/>
            </w:pPr>
            <w:r>
              <w:rPr>
                <w:color w:val="333333"/>
                <w:sz w:val="19"/>
              </w:rPr>
              <w:t>$307.33</w:t>
            </w:r>
          </w:p>
        </w:tc>
      </w:tr>
      <w:tr>
        <w:tc>
          <w:tcPr>
            <w:tcW w:type="dxa" w:w="5669"/>
            <w:shd w:val="clear" w:color="auto" w:fill="F0F4FA"/>
          </w:tcPr>
          <w:p>
            <w:pPr>
              <w:jc w:val="left"/>
            </w:pPr>
            <w:r>
              <w:rPr>
                <w:b/>
                <w:color w:val="1A2C5B"/>
                <w:sz w:val="19"/>
              </w:rPr>
              <w:t>YUDELYS BRITO</w:t>
            </w:r>
          </w:p>
        </w:tc>
        <w:tc>
          <w:tcPr>
            <w:tcW w:type="dxa" w:w="2835"/>
            <w:shd w:val="clear" w:color="auto" w:fill="F0F4FA"/>
          </w:tcPr>
          <w:p>
            <w:pPr>
              <w:jc w:val="right"/>
            </w:pPr>
            <w:r>
              <w:rPr>
                <w:color w:val="333333"/>
                <w:sz w:val="19"/>
              </w:rPr>
              <w:t>$307.33</w:t>
            </w:r>
          </w:p>
        </w:tc>
      </w:tr>
      <w:tr>
        <w:tc>
          <w:tcPr>
            <w:tcW w:type="dxa" w:w="5669"/>
            <w:shd w:val="clear" w:color="auto" w:fill="FFFFFF"/>
          </w:tcPr>
          <w:p>
            <w:pPr>
              <w:jc w:val="left"/>
            </w:pPr>
            <w:r>
              <w:rPr>
                <w:b/>
                <w:color w:val="1A2C5B"/>
                <w:sz w:val="19"/>
              </w:rPr>
              <w:t>ZARETH FARIAS</w:t>
            </w:r>
          </w:p>
        </w:tc>
        <w:tc>
          <w:tcPr>
            <w:tcW w:type="dxa" w:w="2835"/>
            <w:shd w:val="clear" w:color="auto" w:fill="FFFFFF"/>
          </w:tcPr>
          <w:p>
            <w:pPr>
              <w:jc w:val="right"/>
            </w:pPr>
            <w:r>
              <w:rPr>
                <w:color w:val="333333"/>
                <w:sz w:val="19"/>
              </w:rPr>
              <w:t>$250.03</w:t>
            </w:r>
          </w:p>
        </w:tc>
      </w:tr>
      <w:tr>
        <w:tc>
          <w:tcPr>
            <w:tcW w:type="dxa" w:w="5669"/>
            <w:shd w:val="clear" w:color="auto" w:fill="F0F4FA"/>
          </w:tcPr>
          <w:p>
            <w:pPr>
              <w:jc w:val="left"/>
            </w:pPr>
            <w:r>
              <w:rPr>
                <w:b/>
                <w:color w:val="1A2C5B"/>
                <w:sz w:val="19"/>
              </w:rPr>
              <w:t>TOTAL (43 empleados)</w:t>
            </w:r>
          </w:p>
        </w:tc>
        <w:tc>
          <w:tcPr>
            <w:tcW w:type="dxa" w:w="2835"/>
            <w:shd w:val="clear" w:color="auto" w:fill="F0F4FA"/>
          </w:tcPr>
          <w:p>
            <w:pPr>
              <w:jc w:val="right"/>
            </w:pPr>
            <w:r>
              <w:rPr>
                <w:color w:val="333333"/>
                <w:sz w:val="19"/>
              </w:rPr>
              <w:t>$15,013.26</w:t>
            </w:r>
          </w:p>
        </w:tc>
      </w:tr>
    </w:tbl>
    <w:p>
      <w:pPr>
        <w:spacing w:after="40"/>
      </w:pPr>
    </w:p>
    <w:p>
      <w:pPr>
        <w:spacing w:before="40" w:after="80"/>
      </w:pPr>
      <w:r>
        <w:rPr>
          <w:b w:val="0"/>
          <w:i/>
          <w:color w:val="444444"/>
          <w:sz w:val="21"/>
        </w:rPr>
        <w:t>⚠ = Por debajo del decreto de ingreso mínimo $240 (abril 2026). Ajuste requerido.</w:t>
      </w:r>
    </w:p>
    <w:p>
      <w:pPr>
        <w:spacing w:before="200" w:after="60"/>
        <w:pBdr>
          <w:bottom w:val="single" w:sz="6" w:space="1" w:color="1A2C5B"/>
        </w:pBdr>
      </w:pPr>
      <w:r>
        <w:rPr>
          <w:b/>
          <w:color w:val="1A2C5B"/>
          <w:sz w:val="22"/>
        </w:rPr>
        <w:t>B · DETALLE DE COSTOS FIJOS ANUALES</w:t>
      </w:r>
    </w:p>
    <w:tbl>
      <w:tblPr>
        <w:tblStyle w:val="TableGrid"/>
        <w:tblW w:type="auto" w:w="0"/>
        <w:tblLook w:firstColumn="1" w:firstRow="1" w:lastColumn="0" w:lastRow="0" w:noHBand="0" w:noVBand="1" w:val="04A0"/>
      </w:tblPr>
      <w:tblGrid>
        <w:gridCol w:w="3022"/>
        <w:gridCol w:w="3022"/>
        <w:gridCol w:w="3022"/>
      </w:tblGrid>
      <w:tr>
        <w:tc>
          <w:tcPr>
            <w:tcW w:type="dxa" w:w="3969"/>
            <w:shd w:val="clear" w:color="auto" w:fill="1A2C5B"/>
          </w:tcPr>
          <w:p>
            <w:pPr>
              <w:jc w:val="center"/>
            </w:pPr>
            <w:r>
              <w:rPr>
                <w:b/>
                <w:color w:val="FFFFFF"/>
                <w:sz w:val="19"/>
              </w:rPr>
              <w:t>Concepto</w:t>
            </w:r>
          </w:p>
        </w:tc>
        <w:tc>
          <w:tcPr>
            <w:tcW w:type="dxa" w:w="2268"/>
            <w:shd w:val="clear" w:color="auto" w:fill="1A2C5B"/>
          </w:tcPr>
          <w:p>
            <w:pPr>
              <w:jc w:val="center"/>
            </w:pPr>
            <w:r>
              <w:rPr>
                <w:b/>
                <w:color w:val="FFFFFF"/>
                <w:sz w:val="19"/>
              </w:rPr>
              <w:t>USD Anual</w:t>
            </w:r>
          </w:p>
        </w:tc>
        <w:tc>
          <w:tcPr>
            <w:tcW w:type="dxa" w:w="4535"/>
            <w:shd w:val="clear" w:color="auto" w:fill="1A2C5B"/>
          </w:tcPr>
          <w:p>
            <w:pPr>
              <w:jc w:val="center"/>
            </w:pPr>
            <w:r>
              <w:rPr>
                <w:b/>
                <w:color w:val="FFFFFF"/>
                <w:sz w:val="19"/>
              </w:rPr>
              <w:t>Observaciones</w:t>
            </w:r>
          </w:p>
        </w:tc>
      </w:tr>
      <w:tr>
        <w:tc>
          <w:tcPr>
            <w:tcW w:type="dxa" w:w="3969"/>
            <w:shd w:val="clear" w:color="auto" w:fill="F0F4FA"/>
          </w:tcPr>
          <w:p>
            <w:pPr>
              <w:jc w:val="left"/>
            </w:pPr>
            <w:r>
              <w:rPr>
                <w:b/>
                <w:color w:val="1A2C5B"/>
                <w:sz w:val="19"/>
              </w:rPr>
              <w:t>Nómina (43 empleados actuales)</w:t>
            </w:r>
          </w:p>
        </w:tc>
        <w:tc>
          <w:tcPr>
            <w:tcW w:type="dxa" w:w="2268"/>
            <w:shd w:val="clear" w:color="auto" w:fill="F0F4FA"/>
          </w:tcPr>
          <w:p>
            <w:pPr>
              <w:jc w:val="right"/>
            </w:pPr>
            <w:r>
              <w:rPr>
                <w:color w:val="333333"/>
                <w:sz w:val="19"/>
              </w:rPr>
              <w:t>$180,159</w:t>
            </w:r>
          </w:p>
        </w:tc>
        <w:tc>
          <w:tcPr>
            <w:tcW w:type="dxa" w:w="4535"/>
            <w:shd w:val="clear" w:color="auto" w:fill="F0F4FA"/>
          </w:tcPr>
          <w:p>
            <w:pPr>
              <w:jc w:val="right"/>
            </w:pPr>
            <w:r>
              <w:rPr>
                <w:color w:val="333333"/>
                <w:sz w:val="19"/>
              </w:rPr>
              <w:t>Incluye bono + salario; excluye CEO</w:t>
            </w:r>
          </w:p>
        </w:tc>
      </w:tr>
      <w:tr>
        <w:tc>
          <w:tcPr>
            <w:tcW w:type="dxa" w:w="3969"/>
            <w:shd w:val="clear" w:color="auto" w:fill="FFFFFF"/>
          </w:tcPr>
          <w:p>
            <w:pPr>
              <w:jc w:val="left"/>
            </w:pPr>
            <w:r>
              <w:rPr>
                <w:b/>
                <w:color w:val="1A2C5B"/>
                <w:sz w:val="19"/>
              </w:rPr>
              <w:t>Compensación CEO</w:t>
            </w:r>
          </w:p>
        </w:tc>
        <w:tc>
          <w:tcPr>
            <w:tcW w:type="dxa" w:w="2268"/>
            <w:shd w:val="clear" w:color="auto" w:fill="FFFFFF"/>
          </w:tcPr>
          <w:p>
            <w:pPr>
              <w:jc w:val="right"/>
            </w:pPr>
            <w:r>
              <w:rPr>
                <w:color w:val="333333"/>
                <w:sz w:val="19"/>
              </w:rPr>
              <w:t>$54,000</w:t>
            </w:r>
          </w:p>
        </w:tc>
        <w:tc>
          <w:tcPr>
            <w:tcW w:type="dxa" w:w="4535"/>
            <w:shd w:val="clear" w:color="auto" w:fill="FFFFFF"/>
          </w:tcPr>
          <w:p>
            <w:pPr>
              <w:jc w:val="right"/>
            </w:pPr>
            <w:r>
              <w:rPr>
                <w:color w:val="333333"/>
                <w:sz w:val="19"/>
              </w:rPr>
              <w:t>Nueva — contrato de empleo propuesto</w:t>
            </w:r>
          </w:p>
        </w:tc>
      </w:tr>
      <w:tr>
        <w:tc>
          <w:tcPr>
            <w:tcW w:type="dxa" w:w="3969"/>
            <w:shd w:val="clear" w:color="auto" w:fill="F0F4FA"/>
          </w:tcPr>
          <w:p>
            <w:pPr>
              <w:jc w:val="left"/>
            </w:pPr>
            <w:r>
              <w:rPr>
                <w:b/>
                <w:color w:val="1A2C5B"/>
                <w:sz w:val="19"/>
              </w:rPr>
              <w:t>Alquiler de instalaciones</w:t>
            </w:r>
          </w:p>
        </w:tc>
        <w:tc>
          <w:tcPr>
            <w:tcW w:type="dxa" w:w="2268"/>
            <w:shd w:val="clear" w:color="auto" w:fill="F0F4FA"/>
          </w:tcPr>
          <w:p>
            <w:pPr>
              <w:jc w:val="right"/>
            </w:pPr>
            <w:r>
              <w:rPr>
                <w:color w:val="333333"/>
                <w:sz w:val="19"/>
              </w:rPr>
              <w:t>$16,000</w:t>
            </w:r>
          </w:p>
        </w:tc>
        <w:tc>
          <w:tcPr>
            <w:tcW w:type="dxa" w:w="4535"/>
            <w:shd w:val="clear" w:color="auto" w:fill="F0F4FA"/>
          </w:tcPr>
          <w:p>
            <w:pPr>
              <w:jc w:val="right"/>
            </w:pPr>
            <w:r>
              <w:rPr>
                <w:color w:val="333333"/>
                <w:sz w:val="19"/>
              </w:rPr>
              <w:t>Confirmado en matriz presupuestaria</w:t>
            </w:r>
          </w:p>
        </w:tc>
      </w:tr>
      <w:tr>
        <w:tc>
          <w:tcPr>
            <w:tcW w:type="dxa" w:w="3969"/>
            <w:shd w:val="clear" w:color="auto" w:fill="FFFFFF"/>
          </w:tcPr>
          <w:p>
            <w:pPr>
              <w:jc w:val="left"/>
            </w:pPr>
            <w:r>
              <w:rPr>
                <w:b/>
                <w:color w:val="1A2C5B"/>
                <w:sz w:val="19"/>
              </w:rPr>
              <w:t>TI / servicios de procesamiento</w:t>
            </w:r>
          </w:p>
        </w:tc>
        <w:tc>
          <w:tcPr>
            <w:tcW w:type="dxa" w:w="2268"/>
            <w:shd w:val="clear" w:color="auto" w:fill="FFFFFF"/>
          </w:tcPr>
          <w:p>
            <w:pPr>
              <w:jc w:val="right"/>
            </w:pPr>
            <w:r>
              <w:rPr>
                <w:color w:val="333333"/>
                <w:sz w:val="19"/>
              </w:rPr>
              <w:t>$38,022</w:t>
            </w:r>
          </w:p>
        </w:tc>
        <w:tc>
          <w:tcPr>
            <w:tcW w:type="dxa" w:w="4535"/>
            <w:shd w:val="clear" w:color="auto" w:fill="FFFFFF"/>
          </w:tcPr>
          <w:p>
            <w:pPr>
              <w:jc w:val="right"/>
            </w:pPr>
            <w:r>
              <w:rPr>
                <w:color w:val="333333"/>
                <w:sz w:val="19"/>
              </w:rPr>
              <w:t>Odoo, internet, sistemas</w:t>
            </w:r>
          </w:p>
        </w:tc>
      </w:tr>
      <w:tr>
        <w:tc>
          <w:tcPr>
            <w:tcW w:type="dxa" w:w="3969"/>
            <w:shd w:val="clear" w:color="auto" w:fill="F0F4FA"/>
          </w:tcPr>
          <w:p>
            <w:pPr>
              <w:jc w:val="left"/>
            </w:pPr>
            <w:r>
              <w:rPr>
                <w:b/>
                <w:color w:val="1A2C5B"/>
                <w:sz w:val="19"/>
              </w:rPr>
              <w:t>Honorarios profesionales</w:t>
            </w:r>
          </w:p>
        </w:tc>
        <w:tc>
          <w:tcPr>
            <w:tcW w:type="dxa" w:w="2268"/>
            <w:shd w:val="clear" w:color="auto" w:fill="F0F4FA"/>
          </w:tcPr>
          <w:p>
            <w:pPr>
              <w:jc w:val="right"/>
            </w:pPr>
            <w:r>
              <w:rPr>
                <w:color w:val="333333"/>
                <w:sz w:val="19"/>
              </w:rPr>
              <w:t>$31,752</w:t>
            </w:r>
          </w:p>
        </w:tc>
        <w:tc>
          <w:tcPr>
            <w:tcW w:type="dxa" w:w="4535"/>
            <w:shd w:val="clear" w:color="auto" w:fill="F0F4FA"/>
          </w:tcPr>
          <w:p>
            <w:pPr>
              <w:jc w:val="right"/>
            </w:pPr>
            <w:r>
              <w:rPr>
                <w:color w:val="333333"/>
                <w:sz w:val="19"/>
              </w:rPr>
              <w:t>Legal, contabilidad, asesoría externa</w:t>
            </w:r>
          </w:p>
        </w:tc>
      </w:tr>
      <w:tr>
        <w:tc>
          <w:tcPr>
            <w:tcW w:type="dxa" w:w="3969"/>
            <w:shd w:val="clear" w:color="auto" w:fill="FFFFFF"/>
          </w:tcPr>
          <w:p>
            <w:pPr>
              <w:jc w:val="left"/>
            </w:pPr>
            <w:r>
              <w:rPr>
                <w:b/>
                <w:color w:val="1A2C5B"/>
                <w:sz w:val="19"/>
              </w:rPr>
              <w:t>Mantenimiento de infraestructura</w:t>
            </w:r>
          </w:p>
        </w:tc>
        <w:tc>
          <w:tcPr>
            <w:tcW w:type="dxa" w:w="2268"/>
            <w:shd w:val="clear" w:color="auto" w:fill="FFFFFF"/>
          </w:tcPr>
          <w:p>
            <w:pPr>
              <w:jc w:val="right"/>
            </w:pPr>
            <w:r>
              <w:rPr>
                <w:color w:val="333333"/>
                <w:sz w:val="19"/>
              </w:rPr>
              <w:t>$14,080</w:t>
            </w:r>
          </w:p>
        </w:tc>
        <w:tc>
          <w:tcPr>
            <w:tcW w:type="dxa" w:w="4535"/>
            <w:shd w:val="clear" w:color="auto" w:fill="FFFFFF"/>
          </w:tcPr>
          <w:p>
            <w:pPr>
              <w:jc w:val="right"/>
            </w:pPr>
            <w:r>
              <w:rPr>
                <w:color w:val="333333"/>
                <w:sz w:val="19"/>
              </w:rPr>
              <w:t>Reparaciones del edificio</w:t>
            </w:r>
          </w:p>
        </w:tc>
      </w:tr>
      <w:tr>
        <w:tc>
          <w:tcPr>
            <w:tcW w:type="dxa" w:w="3969"/>
            <w:shd w:val="clear" w:color="auto" w:fill="F0F4FA"/>
          </w:tcPr>
          <w:p>
            <w:pPr>
              <w:jc w:val="left"/>
            </w:pPr>
            <w:r>
              <w:rPr>
                <w:b/>
                <w:color w:val="1A2C5B"/>
                <w:sz w:val="19"/>
              </w:rPr>
              <w:t>Mantenimiento de equipos</w:t>
            </w:r>
          </w:p>
        </w:tc>
        <w:tc>
          <w:tcPr>
            <w:tcW w:type="dxa" w:w="2268"/>
            <w:shd w:val="clear" w:color="auto" w:fill="F0F4FA"/>
          </w:tcPr>
          <w:p>
            <w:pPr>
              <w:jc w:val="right"/>
            </w:pPr>
            <w:r>
              <w:rPr>
                <w:color w:val="333333"/>
                <w:sz w:val="19"/>
              </w:rPr>
              <w:t>$6,490</w:t>
            </w:r>
          </w:p>
        </w:tc>
        <w:tc>
          <w:tcPr>
            <w:tcW w:type="dxa" w:w="4535"/>
            <w:shd w:val="clear" w:color="auto" w:fill="F0F4FA"/>
          </w:tcPr>
          <w:p>
            <w:pPr>
              <w:jc w:val="right"/>
            </w:pPr>
            <w:r>
              <w:rPr>
                <w:color w:val="333333"/>
                <w:sz w:val="19"/>
              </w:rPr>
              <w:t>Computadoras, laboratorio, mobiliario</w:t>
            </w:r>
          </w:p>
        </w:tc>
      </w:tr>
      <w:tr>
        <w:tc>
          <w:tcPr>
            <w:tcW w:type="dxa" w:w="3969"/>
            <w:shd w:val="clear" w:color="auto" w:fill="FFFFFF"/>
          </w:tcPr>
          <w:p>
            <w:pPr>
              <w:jc w:val="left"/>
            </w:pPr>
            <w:r>
              <w:rPr>
                <w:b/>
                <w:color w:val="1A2C5B"/>
                <w:sz w:val="19"/>
              </w:rPr>
              <w:t>Depreciación de equipos</w:t>
            </w:r>
          </w:p>
        </w:tc>
        <w:tc>
          <w:tcPr>
            <w:tcW w:type="dxa" w:w="2268"/>
            <w:shd w:val="clear" w:color="auto" w:fill="FFFFFF"/>
          </w:tcPr>
          <w:p>
            <w:pPr>
              <w:jc w:val="right"/>
            </w:pPr>
            <w:r>
              <w:rPr>
                <w:color w:val="333333"/>
                <w:sz w:val="19"/>
              </w:rPr>
              <w:t>$3,146</w:t>
            </w:r>
          </w:p>
        </w:tc>
        <w:tc>
          <w:tcPr>
            <w:tcW w:type="dxa" w:w="4535"/>
            <w:shd w:val="clear" w:color="auto" w:fill="FFFFFF"/>
          </w:tcPr>
          <w:p>
            <w:pPr>
              <w:jc w:val="right"/>
            </w:pPr>
            <w:r>
              <w:rPr>
                <w:color w:val="333333"/>
                <w:sz w:val="19"/>
              </w:rPr>
              <w:t>No monetario; incluido para referencia</w:t>
            </w:r>
          </w:p>
        </w:tc>
      </w:tr>
      <w:tr>
        <w:tc>
          <w:tcPr>
            <w:tcW w:type="dxa" w:w="3969"/>
            <w:shd w:val="clear" w:color="auto" w:fill="F0F4FA"/>
          </w:tcPr>
          <w:p>
            <w:pPr>
              <w:jc w:val="left"/>
            </w:pPr>
            <w:r>
              <w:rPr>
                <w:b/>
                <w:color w:val="1A2C5B"/>
                <w:sz w:val="19"/>
              </w:rPr>
              <w:t>Capacitación / mejoramiento</w:t>
            </w:r>
          </w:p>
        </w:tc>
        <w:tc>
          <w:tcPr>
            <w:tcW w:type="dxa" w:w="2268"/>
            <w:shd w:val="clear" w:color="auto" w:fill="F0F4FA"/>
          </w:tcPr>
          <w:p>
            <w:pPr>
              <w:jc w:val="right"/>
            </w:pPr>
            <w:r>
              <w:rPr>
                <w:color w:val="333333"/>
                <w:sz w:val="19"/>
              </w:rPr>
              <w:t>$3,620</w:t>
            </w:r>
          </w:p>
        </w:tc>
        <w:tc>
          <w:tcPr>
            <w:tcW w:type="dxa" w:w="4535"/>
            <w:shd w:val="clear" w:color="auto" w:fill="F0F4FA"/>
          </w:tcPr>
          <w:p>
            <w:pPr>
              <w:jc w:val="right"/>
            </w:pPr>
            <w:r>
              <w:rPr>
                <w:color w:val="333333"/>
                <w:sz w:val="19"/>
              </w:rPr>
              <w:t>Requisito de educación continua MPPE</w:t>
            </w:r>
          </w:p>
        </w:tc>
      </w:tr>
      <w:tr>
        <w:tc>
          <w:tcPr>
            <w:tcW w:type="dxa" w:w="3969"/>
            <w:shd w:val="clear" w:color="auto" w:fill="FFFFFF"/>
          </w:tcPr>
          <w:p>
            <w:pPr>
              <w:jc w:val="left"/>
            </w:pPr>
            <w:r>
              <w:rPr>
                <w:b/>
                <w:color w:val="1A2C5B"/>
                <w:sz w:val="19"/>
              </w:rPr>
              <w:t>Contribución uniformes</w:t>
            </w:r>
          </w:p>
        </w:tc>
        <w:tc>
          <w:tcPr>
            <w:tcW w:type="dxa" w:w="2268"/>
            <w:shd w:val="clear" w:color="auto" w:fill="FFFFFF"/>
          </w:tcPr>
          <w:p>
            <w:pPr>
              <w:jc w:val="right"/>
            </w:pPr>
            <w:r>
              <w:rPr>
                <w:color w:val="333333"/>
                <w:sz w:val="19"/>
              </w:rPr>
              <w:t>$2,904</w:t>
            </w:r>
          </w:p>
        </w:tc>
        <w:tc>
          <w:tcPr>
            <w:tcW w:type="dxa" w:w="4535"/>
            <w:shd w:val="clear" w:color="auto" w:fill="FFFFFF"/>
          </w:tcPr>
          <w:p>
            <w:pPr>
              <w:jc w:val="right"/>
            </w:pPr>
            <w:r>
              <w:rPr>
                <w:color w:val="333333"/>
                <w:sz w:val="19"/>
              </w:rPr>
              <w:t>Uniformes anuales del personal</w:t>
            </w:r>
          </w:p>
        </w:tc>
      </w:tr>
      <w:tr>
        <w:tc>
          <w:tcPr>
            <w:tcW w:type="dxa" w:w="3969"/>
            <w:shd w:val="clear" w:color="auto" w:fill="F0F4FA"/>
          </w:tcPr>
          <w:p>
            <w:pPr>
              <w:jc w:val="left"/>
            </w:pPr>
            <w:r>
              <w:rPr>
                <w:b/>
                <w:color w:val="1A2C5B"/>
                <w:sz w:val="19"/>
              </w:rPr>
              <w:t>Actividades socioeducativas</w:t>
            </w:r>
          </w:p>
        </w:tc>
        <w:tc>
          <w:tcPr>
            <w:tcW w:type="dxa" w:w="2268"/>
            <w:shd w:val="clear" w:color="auto" w:fill="F0F4FA"/>
          </w:tcPr>
          <w:p>
            <w:pPr>
              <w:jc w:val="right"/>
            </w:pPr>
            <w:r>
              <w:rPr>
                <w:color w:val="333333"/>
                <w:sz w:val="19"/>
              </w:rPr>
              <w:t>$4,297</w:t>
            </w:r>
          </w:p>
        </w:tc>
        <w:tc>
          <w:tcPr>
            <w:tcW w:type="dxa" w:w="4535"/>
            <w:shd w:val="clear" w:color="auto" w:fill="F0F4FA"/>
          </w:tcPr>
          <w:p>
            <w:pPr>
              <w:jc w:val="right"/>
            </w:pPr>
            <w:r>
              <w:rPr>
                <w:color w:val="333333"/>
                <w:sz w:val="19"/>
              </w:rPr>
              <w:t>Eventos del plantel, comunidad</w:t>
            </w:r>
          </w:p>
        </w:tc>
      </w:tr>
      <w:tr>
        <w:tc>
          <w:tcPr>
            <w:tcW w:type="dxa" w:w="3969"/>
            <w:shd w:val="clear" w:color="auto" w:fill="FFFFFF"/>
          </w:tcPr>
          <w:p>
            <w:pPr>
              <w:jc w:val="left"/>
            </w:pPr>
            <w:r>
              <w:rPr>
                <w:b/>
                <w:color w:val="1A2C5B"/>
                <w:sz w:val="19"/>
              </w:rPr>
              <w:t>Viáticos / gestión institucional</w:t>
            </w:r>
          </w:p>
        </w:tc>
        <w:tc>
          <w:tcPr>
            <w:tcW w:type="dxa" w:w="2268"/>
            <w:shd w:val="clear" w:color="auto" w:fill="FFFFFF"/>
          </w:tcPr>
          <w:p>
            <w:pPr>
              <w:jc w:val="right"/>
            </w:pPr>
            <w:r>
              <w:rPr>
                <w:color w:val="333333"/>
                <w:sz w:val="19"/>
              </w:rPr>
              <w:t>$1,430</w:t>
            </w:r>
          </w:p>
        </w:tc>
        <w:tc>
          <w:tcPr>
            <w:tcW w:type="dxa" w:w="4535"/>
            <w:shd w:val="clear" w:color="auto" w:fill="FFFFFF"/>
          </w:tcPr>
          <w:p>
            <w:pPr>
              <w:jc w:val="right"/>
            </w:pPr>
            <w:r>
              <w:rPr>
                <w:color w:val="333333"/>
                <w:sz w:val="19"/>
              </w:rPr>
              <w:t>Trámites MPPE, reuniones CAVEC</w:t>
            </w:r>
          </w:p>
        </w:tc>
      </w:tr>
      <w:tr>
        <w:tc>
          <w:tcPr>
            <w:tcW w:type="dxa" w:w="3969"/>
            <w:shd w:val="clear" w:color="auto" w:fill="F0F4FA"/>
          </w:tcPr>
          <w:p>
            <w:pPr>
              <w:jc w:val="left"/>
            </w:pPr>
            <w:r>
              <w:rPr>
                <w:b/>
                <w:color w:val="1A2C5B"/>
                <w:sz w:val="19"/>
              </w:rPr>
              <w:t>Publicidad y propaganda</w:t>
            </w:r>
          </w:p>
        </w:tc>
        <w:tc>
          <w:tcPr>
            <w:tcW w:type="dxa" w:w="2268"/>
            <w:shd w:val="clear" w:color="auto" w:fill="F0F4FA"/>
          </w:tcPr>
          <w:p>
            <w:pPr>
              <w:jc w:val="right"/>
            </w:pPr>
            <w:r>
              <w:rPr>
                <w:color w:val="333333"/>
                <w:sz w:val="19"/>
              </w:rPr>
              <w:t>$1,397</w:t>
            </w:r>
          </w:p>
        </w:tc>
        <w:tc>
          <w:tcPr>
            <w:tcW w:type="dxa" w:w="4535"/>
            <w:shd w:val="clear" w:color="auto" w:fill="F0F4FA"/>
          </w:tcPr>
          <w:p>
            <w:pPr>
              <w:jc w:val="right"/>
            </w:pPr>
            <w:r>
              <w:rPr>
                <w:color w:val="333333"/>
                <w:sz w:val="19"/>
              </w:rPr>
              <w:t>Redes sociales, material impreso</w:t>
            </w:r>
          </w:p>
        </w:tc>
      </w:tr>
      <w:tr>
        <w:tc>
          <w:tcPr>
            <w:tcW w:type="dxa" w:w="3969"/>
            <w:shd w:val="clear" w:color="auto" w:fill="FFFFFF"/>
          </w:tcPr>
          <w:p>
            <w:pPr>
              <w:jc w:val="left"/>
            </w:pPr>
            <w:r>
              <w:rPr>
                <w:b/>
                <w:color w:val="1A2C5B"/>
                <w:sz w:val="19"/>
              </w:rPr>
              <w:t>Primas y seguros</w:t>
            </w:r>
          </w:p>
        </w:tc>
        <w:tc>
          <w:tcPr>
            <w:tcW w:type="dxa" w:w="2268"/>
            <w:shd w:val="clear" w:color="auto" w:fill="FFFFFF"/>
          </w:tcPr>
          <w:p>
            <w:pPr>
              <w:jc w:val="right"/>
            </w:pPr>
            <w:r>
              <w:rPr>
                <w:color w:val="333333"/>
                <w:sz w:val="19"/>
              </w:rPr>
              <w:t>$614</w:t>
            </w:r>
          </w:p>
        </w:tc>
        <w:tc>
          <w:tcPr>
            <w:tcW w:type="dxa" w:w="4535"/>
            <w:shd w:val="clear" w:color="auto" w:fill="FFFFFF"/>
          </w:tcPr>
          <w:p>
            <w:pPr>
              <w:jc w:val="right"/>
            </w:pPr>
            <w:r>
              <w:rPr>
                <w:color w:val="333333"/>
                <w:sz w:val="19"/>
              </w:rPr>
              <w:t>Pólizas institucionales</w:t>
            </w:r>
          </w:p>
        </w:tc>
      </w:tr>
      <w:tr>
        <w:tc>
          <w:tcPr>
            <w:tcW w:type="dxa" w:w="3969"/>
            <w:shd w:val="clear" w:color="auto" w:fill="F0F4FA"/>
          </w:tcPr>
          <w:p>
            <w:pPr>
              <w:jc w:val="left"/>
            </w:pPr>
            <w:r>
              <w:rPr>
                <w:b/>
                <w:color w:val="1A2C5B"/>
                <w:sz w:val="19"/>
              </w:rPr>
              <w:t>Afiliaciones y suscripciones</w:t>
            </w:r>
          </w:p>
        </w:tc>
        <w:tc>
          <w:tcPr>
            <w:tcW w:type="dxa" w:w="2268"/>
            <w:shd w:val="clear" w:color="auto" w:fill="F0F4FA"/>
          </w:tcPr>
          <w:p>
            <w:pPr>
              <w:jc w:val="right"/>
            </w:pPr>
            <w:r>
              <w:rPr>
                <w:color w:val="333333"/>
                <w:sz w:val="19"/>
              </w:rPr>
              <w:t>$132</w:t>
            </w:r>
          </w:p>
        </w:tc>
        <w:tc>
          <w:tcPr>
            <w:tcW w:type="dxa" w:w="4535"/>
            <w:shd w:val="clear" w:color="auto" w:fill="F0F4FA"/>
          </w:tcPr>
          <w:p>
            <w:pPr>
              <w:jc w:val="right"/>
            </w:pPr>
            <w:r>
              <w:rPr>
                <w:color w:val="333333"/>
                <w:sz w:val="19"/>
              </w:rPr>
              <w:t>CAVEC y organismos profesionales</w:t>
            </w:r>
          </w:p>
        </w:tc>
      </w:tr>
      <w:tr>
        <w:tc>
          <w:tcPr>
            <w:tcW w:type="dxa" w:w="3969"/>
            <w:shd w:val="clear" w:color="auto" w:fill="FFFFFF"/>
          </w:tcPr>
          <w:p>
            <w:pPr>
              <w:jc w:val="left"/>
            </w:pPr>
            <w:r>
              <w:rPr>
                <w:b/>
                <w:color w:val="1A2C5B"/>
                <w:sz w:val="19"/>
              </w:rPr>
              <w:t>Servicios básicos (estimado)</w:t>
            </w:r>
          </w:p>
        </w:tc>
        <w:tc>
          <w:tcPr>
            <w:tcW w:type="dxa" w:w="2268"/>
            <w:shd w:val="clear" w:color="auto" w:fill="FFFFFF"/>
          </w:tcPr>
          <w:p>
            <w:pPr>
              <w:jc w:val="right"/>
            </w:pPr>
            <w:r>
              <w:rPr>
                <w:color w:val="333333"/>
                <w:sz w:val="19"/>
              </w:rPr>
              <w:t>$8,400</w:t>
            </w:r>
          </w:p>
        </w:tc>
        <w:tc>
          <w:tcPr>
            <w:tcW w:type="dxa" w:w="4535"/>
            <w:shd w:val="clear" w:color="auto" w:fill="FFFFFF"/>
          </w:tcPr>
          <w:p>
            <w:pPr>
              <w:jc w:val="right"/>
            </w:pPr>
            <w:r>
              <w:rPr>
                <w:color w:val="333333"/>
                <w:sz w:val="19"/>
              </w:rPr>
              <w:t>Electricidad, agua, telefonía, internet</w:t>
            </w:r>
          </w:p>
        </w:tc>
      </w:tr>
      <w:tr>
        <w:tc>
          <w:tcPr>
            <w:tcW w:type="dxa" w:w="3969"/>
            <w:shd w:val="clear" w:color="auto" w:fill="F0F4FA"/>
          </w:tcPr>
          <w:p>
            <w:pPr>
              <w:jc w:val="left"/>
            </w:pPr>
            <w:r>
              <w:rPr>
                <w:b/>
                <w:color w:val="1A2C5B"/>
                <w:sz w:val="19"/>
              </w:rPr>
              <w:t>Varios / contingencia</w:t>
            </w:r>
          </w:p>
        </w:tc>
        <w:tc>
          <w:tcPr>
            <w:tcW w:type="dxa" w:w="2268"/>
            <w:shd w:val="clear" w:color="auto" w:fill="F0F4FA"/>
          </w:tcPr>
          <w:p>
            <w:pPr>
              <w:jc w:val="right"/>
            </w:pPr>
            <w:r>
              <w:rPr>
                <w:color w:val="333333"/>
                <w:sz w:val="19"/>
              </w:rPr>
              <w:t>$5,000</w:t>
            </w:r>
          </w:p>
        </w:tc>
        <w:tc>
          <w:tcPr>
            <w:tcW w:type="dxa" w:w="4535"/>
            <w:shd w:val="clear" w:color="auto" w:fill="F0F4FA"/>
          </w:tcPr>
          <w:p>
            <w:pPr>
              <w:jc w:val="right"/>
            </w:pPr>
            <w:r>
              <w:rPr>
                <w:color w:val="333333"/>
                <w:sz w:val="19"/>
              </w:rPr>
              <w:t>Imprevistos operativos</w:t>
            </w:r>
          </w:p>
        </w:tc>
      </w:tr>
      <w:tr>
        <w:tc>
          <w:tcPr>
            <w:tcW w:type="dxa" w:w="3969"/>
            <w:shd w:val="clear" w:color="auto" w:fill="FFFFFF"/>
          </w:tcPr>
          <w:p>
            <w:pPr>
              <w:jc w:val="left"/>
            </w:pPr>
            <w:r>
              <w:rPr>
                <w:b/>
                <w:color w:val="1A2C5B"/>
                <w:sz w:val="19"/>
              </w:rPr>
              <w:t>TOTAL</w:t>
            </w:r>
          </w:p>
        </w:tc>
        <w:tc>
          <w:tcPr>
            <w:tcW w:type="dxa" w:w="2268"/>
            <w:shd w:val="clear" w:color="auto" w:fill="FFFFFF"/>
          </w:tcPr>
          <w:p>
            <w:pPr>
              <w:jc w:val="right"/>
            </w:pPr>
            <w:r>
              <w:rPr>
                <w:color w:val="333333"/>
                <w:sz w:val="19"/>
              </w:rPr>
              <w:t>$371,443</w:t>
            </w:r>
          </w:p>
        </w:tc>
        <w:tc>
          <w:tcPr>
            <w:tcW w:type="dxa" w:w="4535"/>
            <w:shd w:val="clear" w:color="auto" w:fill="FFFFFF"/>
          </w:tcPr>
          <w:p>
            <w:pPr>
              <w:jc w:val="right"/>
            </w:pPr>
            <w:r>
              <w:rPr>
                <w:color w:val="333333"/>
                <w:sz w:val="19"/>
              </w:rPr>
            </w:r>
          </w:p>
        </w:tc>
      </w:tr>
    </w:tbl>
    <w:p>
      <w:pPr>
        <w:spacing w:after="40"/>
      </w:pPr>
    </w:p>
    <w:p>
      <w:pPr>
        <w:spacing w:before="200" w:after="60"/>
        <w:pBdr>
          <w:bottom w:val="single" w:sz="6" w:space="1" w:color="1A2C5B"/>
        </w:pBdr>
      </w:pPr>
      <w:r>
        <w:rPr>
          <w:b/>
          <w:color w:val="1A2C5B"/>
          <w:sz w:val="22"/>
        </w:rPr>
        <w:t>C · GLOSARIO</w:t>
      </w:r>
    </w:p>
    <w:p>
      <w:pPr>
        <w:spacing w:before="20" w:after="60"/>
      </w:pPr>
      <w:r>
        <w:rPr>
          <w:b/>
          <w:color w:val="1A2C5B"/>
          <w:sz w:val="21"/>
        </w:rPr>
        <w:t xml:space="preserve">EBITDA:  </w:t>
      </w:r>
      <w:r>
        <w:rPr>
          <w:color w:val="444444"/>
          <w:sz w:val="21"/>
        </w:rPr>
        <w:t>Utilidad antes de Intereses, Impuestos, Depreciación y Amortización</w:t>
      </w:r>
    </w:p>
    <w:p>
      <w:pPr>
        <w:spacing w:before="20" w:after="60"/>
      </w:pPr>
      <w:r>
        <w:rPr>
          <w:b/>
          <w:color w:val="1A2C5B"/>
          <w:sz w:val="21"/>
        </w:rPr>
        <w:t xml:space="preserve">ROI:  </w:t>
      </w:r>
      <w:r>
        <w:rPr>
          <w:color w:val="444444"/>
          <w:sz w:val="21"/>
        </w:rPr>
        <w:t>Retorno sobre la Inversión = EBITDA Anual ÷ Precio de Compra × 100</w:t>
      </w:r>
    </w:p>
    <w:p>
      <w:pPr>
        <w:spacing w:before="20" w:after="60"/>
      </w:pPr>
      <w:r>
        <w:rPr>
          <w:b/>
          <w:color w:val="1A2C5B"/>
          <w:sz w:val="21"/>
        </w:rPr>
        <w:t xml:space="preserve">MPPE:  </w:t>
      </w:r>
      <w:r>
        <w:rPr>
          <w:color w:val="444444"/>
          <w:sz w:val="21"/>
        </w:rPr>
        <w:t>Ministerio del Poder Popular para la Educación (organismo de acreditación)</w:t>
      </w:r>
    </w:p>
    <w:p>
      <w:pPr>
        <w:spacing w:before="20" w:after="60"/>
      </w:pPr>
      <w:r>
        <w:rPr>
          <w:b/>
          <w:color w:val="1A2C5B"/>
          <w:sz w:val="21"/>
        </w:rPr>
        <w:t xml:space="preserve">CAVEC:  </w:t>
      </w:r>
      <w:r>
        <w:rPr>
          <w:color w:val="444444"/>
          <w:sz w:val="21"/>
        </w:rPr>
        <w:t>Cámara Venezolana de Educación Privada (gremio de colegios privados)</w:t>
      </w:r>
    </w:p>
    <w:p>
      <w:pPr>
        <w:spacing w:before="20" w:after="60"/>
      </w:pPr>
      <w:r>
        <w:rPr>
          <w:b/>
          <w:color w:val="1A2C5B"/>
          <w:sz w:val="21"/>
        </w:rPr>
        <w:t xml:space="preserve">BCV:  </w:t>
      </w:r>
      <w:r>
        <w:rPr>
          <w:color w:val="444444"/>
          <w:sz w:val="21"/>
        </w:rPr>
        <w:t>Banco Central de Venezuela — fuente oficial de tasa de cambio</w:t>
      </w:r>
    </w:p>
    <w:p>
      <w:pPr>
        <w:spacing w:before="20" w:after="60"/>
      </w:pPr>
      <w:r>
        <w:rPr>
          <w:b/>
          <w:color w:val="1A2C5B"/>
          <w:sz w:val="21"/>
        </w:rPr>
        <w:t xml:space="preserve">IVSS:  </w:t>
      </w:r>
      <w:r>
        <w:rPr>
          <w:color w:val="444444"/>
          <w:sz w:val="21"/>
        </w:rPr>
        <w:t>Instituto Venezolano de los Seguros Sociales (seguridad social)</w:t>
      </w:r>
    </w:p>
    <w:p>
      <w:pPr>
        <w:spacing w:before="20" w:after="60"/>
      </w:pPr>
      <w:r>
        <w:rPr>
          <w:b/>
          <w:color w:val="1A2C5B"/>
          <w:sz w:val="21"/>
        </w:rPr>
        <w:t xml:space="preserve">VEB / Bs.:  </w:t>
      </w:r>
      <w:r>
        <w:rPr>
          <w:color w:val="444444"/>
          <w:sz w:val="21"/>
        </w:rPr>
        <w:t>Bolívar venezolano (moneda local)</w:t>
      </w:r>
    </w:p>
    <w:p>
      <w:pPr>
        <w:spacing w:before="20" w:after="60"/>
      </w:pPr>
      <w:r>
        <w:rPr>
          <w:b/>
          <w:color w:val="1A2C5B"/>
          <w:sz w:val="21"/>
        </w:rPr>
        <w:t xml:space="preserve">ERP:  </w:t>
      </w:r>
      <w:r>
        <w:rPr>
          <w:color w:val="444444"/>
          <w:sz w:val="21"/>
        </w:rPr>
        <w:t>Sistema de Planificación de Recursos Empresariales — software Odoo (RRHH, nómina, facturación)</w:t>
      </w:r>
    </w:p>
    <w:p/>
    <w:p>
      <w:pPr>
        <w:jc w:val="center"/>
      </w:pPr>
      <w:r>
        <w:rPr>
          <w:i/>
          <w:color w:val="999999"/>
          <w:sz w:val="18"/>
        </w:rPr>
        <w:t>Este documento es un plan de negocios preliminar preparado para revisión de inversores. Todas las cifras financieras se basan en matrices presupuestarias internas y datos operativos a mayo de 2026. Las cifras finales están sujetas a auditoría independiente y debida diligencia. Este documento no constituye una oferta legalmente vinculante.</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