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</w:pPr>
      <w:r>
        <w:rPr>
          <w:rtl w:val="0"/>
          <w:lang w:val="pl-PL" w:bidi="pl-PL" w:eastAsia="pl-PL"/>
        </w:rPr>
        <w:t>DATA SET</w:t>
      </w:r>
      <w:r>
        <w:rPr>
          <w:rtl w:val="0"/>
          <w:lang w:val="pl-PL" w:bidi="pl-PL" w:eastAsia="pl-PL"/>
        </w:rPr>
        <w:t xml:space="preserve"> </w:t>
      </w:r>
      <w:r>
        <w:t>Test_Beneficiarydata-1542969243754</w:t>
      </w:r>
    </w:p>
    <w:p>
      <w:pPr>
        <w:jc w:val="center"/>
        <w:rPr>
          <w:b w:val="1"/>
          <w:sz w:val="36"/>
          <w:szCs w:val="36"/>
        </w:rPr>
      </w:pPr>
    </w:p>
    <w:p>
      <w:pPr>
        <w:spacing w:before="240" w:after="240"/>
        <w:ind w:firstLine="0" w:left="0" w:right="0"/>
        <w:jc w:val="center"/>
      </w:pPr>
      <w:bookmarkStart w:id="0" w:name="_dx_frag_StartFragment"/>
      <w:bookmarkEnd w:id="0"/>
      <w:r>
        <w:t xml:space="preserve">Dataset </w:t>
      </w:r>
      <w:r>
        <w:rPr>
          <w:rFonts w:ascii="Courier New" w:hAnsi="Courier New" w:cs="Courier New" w:eastAsia="Courier New"/>
          <w:sz w:val="20"/>
          <w:szCs w:val="20"/>
        </w:rPr>
        <w:t>Test_Beneficiarydata-1542969243754.csv</w:t>
      </w:r>
      <w:r>
        <w:t xml:space="preserve"> zawiera:</w:t>
      </w:r>
    </w:p>
    <w:p>
      <w:pPr>
        <w:numPr>
          <w:ilvl w:val="0"/>
          <w:numId w:val="2"/>
        </w:numPr>
        <w:spacing w:before="240" w:after="240"/>
        <w:ind w:hanging="360" w:left="720" w:right="0"/>
        <w:jc w:val="center"/>
      </w:pPr>
      <w:r>
        <w:rPr>
          <w:b w:val="1"/>
        </w:rPr>
        <w:t>63 968 wierszy</w:t>
      </w:r>
      <w:r>
        <w:t xml:space="preserve"> (czyli tylu pacjentów – beneficjentów),</w:t>
      </w:r>
    </w:p>
    <w:p>
      <w:pPr>
        <w:numPr>
          <w:ilvl w:val="0"/>
          <w:numId w:val="2"/>
        </w:numPr>
        <w:spacing w:before="240" w:after="240"/>
        <w:ind w:hanging="360" w:left="720" w:right="0"/>
        <w:jc w:val="center"/>
      </w:pPr>
      <w:r>
        <w:rPr>
          <w:b w:val="1"/>
        </w:rPr>
        <w:t>25 kolumn</w:t>
      </w:r>
      <w:r>
        <w:t xml:space="preserve"> (czyli różnych zmiennych, np. płeć, wiek, choroby, koszty).</w:t>
      </w:r>
      <w:bookmarkStart w:id="1" w:name="_dx_frag_EndFragment"/>
      <w:bookmarkEnd w:id="1"/>
    </w:p>
    <w:p>
      <w:pPr>
        <w:jc w:val="center"/>
      </w:pP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  <w:szCs w:val="36"/>
        </w:rPr>
      </w:pPr>
      <w:bookmarkStart w:id="2" w:name="_dx_frag_StartFragment"/>
      <w:bookmarkEnd w:id="2"/>
      <w:r>
        <w:rPr>
          <w:b w:val="1"/>
          <w:sz w:val="36"/>
          <w:szCs w:val="36"/>
        </w:rPr>
        <w:t>🧾 Kolumny i ich znaczenie</w:t>
      </w: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r>
        <w:rPr>
          <w:b w:val="1"/>
          <w:sz w:val="36"/>
          <w:szCs w:val="36"/>
          <w:rtl w:val="0"/>
          <w:lang w:val="pl-PL" w:bidi="pl-PL" w:eastAsia="pl-PL"/>
        </w:rPr>
        <w:t>Dane demograficzne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8"/>
        <w:gridCol w:w="7172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BeneID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Unikalny identyfikator beneficjenta (pacjenta).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Data urodzenia pacjenta. Używane do obliczenia wieku.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DOD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Data zgonu pacjenta. Pomaga wykrywać nadużycia (np. roszczenia po śmierci).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 xml:space="preserve">Płeć: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1 = Male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2 = Female</w:t>
            </w:r>
            <w:r>
              <w:t>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Race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 xml:space="preserve">Rasa pacjenta: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1 = White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2 = Black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3 = Other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4 = Asian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5 = Native American</w:t>
            </w:r>
            <w:r>
              <w:t>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RenalDiseaseIndicator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 xml:space="preserve">Czy pacjent ma chorobę nerek: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Y = tak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N = nie</w:t>
            </w:r>
            <w:r>
              <w:t xml:space="preserve">, </w:t>
            </w:r>
            <w:r>
              <w:rPr>
                <w:rFonts w:ascii="Courier New" w:hAnsi="Courier New" w:cs="Courier New" w:eastAsia="Courier New"/>
                <w:sz w:val="20"/>
                <w:szCs w:val="20"/>
              </w:rPr>
              <w:t>0 = brak danych</w:t>
            </w:r>
            <w:r>
              <w:t>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Kod stanu (USA), w którym mieszka pacjent.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County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Kod hrabstwa (lokalizacji) pacjenta.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NoOfMonths_PartACov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Liczba miesięcy w roku, przez które pacjent był objęty ubezpieczeniem Medicare Part A (szpitalnym).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NoOfMonths_PartBCov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Liczba miesięcy w roku, przez które pacjent był objęty Medicare Part B (ambulatoryjnym).</w:t>
            </w:r>
          </w:p>
        </w:tc>
      </w:tr>
    </w:tbl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3" w:name="_dx_frag_EndFragment"/>
      <w:bookmarkEnd w:id="3"/>
      <w:bookmarkStart w:id="4" w:name="_dx_frag_StartFragment"/>
      <w:bookmarkEnd w:id="4"/>
      <w:r>
        <w:rPr>
          <w:b w:val="1"/>
          <w:sz w:val="36"/>
          <w:szCs w:val="36"/>
        </w:rPr>
        <w:t xml:space="preserve">🩺 Choroby przewlekłe (wartości: </w:t>
      </w:r>
      <w:r>
        <w:rPr>
          <w:rFonts w:ascii="Courier New" w:hAnsi="Courier New" w:cs="Courier New" w:eastAsia="Courier New"/>
          <w:b w:val="1"/>
          <w:sz w:val="20"/>
          <w:szCs w:val="36"/>
        </w:rPr>
        <w:t>1 = ma chorobę</w:t>
      </w:r>
      <w:r>
        <w:rPr>
          <w:b w:val="1"/>
          <w:sz w:val="36"/>
          <w:szCs w:val="36"/>
        </w:rPr>
        <w:t xml:space="preserve">, </w:t>
      </w:r>
      <w:r>
        <w:rPr>
          <w:rFonts w:ascii="Courier New" w:hAnsi="Courier New" w:cs="Courier New" w:eastAsia="Courier New"/>
          <w:b w:val="1"/>
          <w:sz w:val="20"/>
          <w:szCs w:val="36"/>
        </w:rPr>
        <w:t>2 = brak choroby</w:t>
      </w:r>
      <w:r>
        <w:rPr>
          <w:b w:val="1"/>
          <w:sz w:val="36"/>
          <w:szCs w:val="36"/>
        </w:rPr>
        <w:t>)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1"/>
        <w:gridCol w:w="6239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ChronicCond_Alzheimer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Czy pacjent ma chorobę Alzheimera.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ChronicCond_Heartfailure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Niewydolność serca.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ChronicCond_KidneyDisease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Choroba nerek.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ChronicCond_Cancer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Nowotwór złośliwy.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ChronicCond_ObstrPulmonary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Przewlekła obturacyjna choroba płuc (POChP).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ChronicCond_Depression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Depresja.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ChronicCond_Diabetes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Cukrzyca.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ChronicCond_IschemicHeart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Choroba niedokrwienna serca.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ChronicCond_Osteoporasis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Osteoporoza.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ChronicCond_rheumatoidarthritis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Reumatoidalne zapalenie stawów.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ChronicCond_stroke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hanging="2220" w:left="2220" w:right="0"/>
              <w:jc w:val="right"/>
            </w:pPr>
            <w:r>
              <w:t>Udar mózgu.</w:t>
            </w:r>
          </w:p>
        </w:tc>
      </w:tr>
    </w:tbl>
    <w:p>
      <w:pPr>
        <w:spacing w:before="240" w:after="240"/>
        <w:ind w:firstLine="0" w:left="0" w:right="0"/>
        <w:outlineLvl w:val="1"/>
        <w:rPr>
          <w:b w:val="1"/>
          <w:sz w:val="36"/>
          <w:szCs w:val="36"/>
        </w:rPr>
      </w:pPr>
      <w:bookmarkStart w:id="5" w:name="_dx_frag_EndFragment"/>
      <w:bookmarkEnd w:id="5"/>
      <w:bookmarkStart w:id="6" w:name="_dx_frag_StartFragment"/>
      <w:bookmarkEnd w:id="6"/>
      <w:r>
        <w:rPr>
          <w:b w:val="1"/>
          <w:sz w:val="36"/>
          <w:szCs w:val="36"/>
        </w:rPr>
        <w:t xml:space="preserve">💵 </w:t>
      </w:r>
    </w:p>
    <w:p>
      <w:pPr>
        <w:spacing w:before="240" w:after="240"/>
        <w:ind w:firstLine="0" w:left="0" w:right="0"/>
        <w:jc w:val="center"/>
        <w:outlineLvl w:val="1"/>
        <w:rPr>
          <w:b w:val="1"/>
          <w:sz w:val="36"/>
        </w:rPr>
      </w:pPr>
      <w:r>
        <w:rPr>
          <w:b w:val="1"/>
          <w:sz w:val="36"/>
          <w:szCs w:val="36"/>
        </w:rPr>
        <w:t>Roczne koszty leczenia</w:t>
      </w:r>
    </w:p>
    <w:tbl>
      <w:tblPr>
        <w:tblW w:w="0" w:type="auto"/>
        <w:tblCellSpacing w:w="15" w:type="dxa"/>
        <w:tblInd w:w="0" w:type="dxa"/>
        <w:tblBorders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9"/>
        <w:gridCol w:w="6571"/>
      </w:tblGrid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  <w:rPr>
                <w:b w:val="1"/>
              </w:rPr>
            </w:pPr>
            <w:r>
              <w:rPr>
                <w:b w:val="1"/>
              </w:rPr>
              <w:t>Kolumna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  <w:rPr>
                <w:b w:val="1"/>
              </w:rPr>
            </w:pPr>
            <w:r>
              <w:rPr>
                <w:b w:val="1"/>
              </w:rPr>
              <w:t>Znaczenie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IPAnnualReimbursementAmt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Łączna kwota refundacji z Medicare za leczenie hospitalizacyjne (Inpatient).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IPAnnualDeductibleAmt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Łączna kwota udziału własnego (koszty ponoszone przez pacjenta) za Inpatient.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OPAnnualReimbursementAmt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Refundacja za leczenie ambulatoryjne (Outpatient).</w:t>
            </w:r>
          </w:p>
        </w:tc>
      </w:tr>
      <w:tr>
        <w:tc>
          <w:tcPr>
            <w:tcW w:w="0" w:type="auto"/>
            <w:vAlign w:val="center"/>
            <w:hideMark/>
          </w:tcPr>
          <w:p>
            <w:pPr>
              <w:ind w:left="0" w:right="0"/>
              <w:jc w:val="left"/>
            </w:pPr>
            <w:r>
              <w:rPr>
                <w:b w:val="1"/>
              </w:rPr>
              <w:t>OPAnnualDeductibleAmt</w:t>
            </w:r>
          </w:p>
        </w:tc>
        <w:tc>
          <w:tcPr>
            <w:tcW w:w="0" w:type="auto"/>
            <w:vAlign w:val="center"/>
            <w:hideMark/>
          </w:tcPr>
          <w:p>
            <w:pPr>
              <w:ind w:left="0" w:right="0"/>
              <w:jc w:val="right"/>
            </w:pPr>
            <w:r>
              <w:t>Udział własny pacjenta w kosztach leczenia Outpatient.</w:t>
            </w:r>
          </w:p>
        </w:tc>
      </w:tr>
    </w:tbl>
    <w:p>
      <w:pPr>
        <w:jc w:val="center"/>
      </w:pPr>
      <w:bookmarkStart w:id="7" w:name="_dx_frag_EndFragment"/>
      <w:bookmarkEnd w:id="7"/>
    </w:p>
    <w:p>
      <w:pPr>
        <w:jc w:val="center"/>
        <w:rPr>
          <w:rtl w:val="0"/>
          <w:lang w:val="pl-PL" w:bidi="pl-PL" w:eastAsia="pl-PL"/>
        </w:rPr>
      </w:pPr>
      <w:r>
        <w:rPr>
          <w:rtl w:val="0"/>
          <w:lang w:val="pl-PL" w:bidi="pl-PL" w:eastAsia="pl-PL"/>
        </w:rPr>
        <w:t>Podsumowując:</w:t>
      </w:r>
    </w:p>
    <w:p>
      <w:pPr>
        <w:jc w:val="center"/>
        <w:rPr>
          <w:rtl w:val="0"/>
          <w:lang w:val="pl-PL" w:bidi="pl-PL" w:eastAsia="pl-PL"/>
        </w:rPr>
      </w:pPr>
    </w:p>
    <w:p>
      <w:pPr>
        <w:spacing w:before="240" w:after="240"/>
        <w:ind w:firstLine="0" w:left="0" w:right="0"/>
      </w:pPr>
      <w:bookmarkStart w:id="8" w:name="_dx_frag_StartFragment"/>
      <w:bookmarkEnd w:id="8"/>
      <w:r>
        <w:t>Te kolumny można pogrupować w kategorie: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Dane demograficzne:</w:t>
      </w: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>Gender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Race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DOB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State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County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Stan zdrowia:</w:t>
      </w: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>RenalDiseaseIndicator</w:t>
      </w:r>
      <w:r>
        <w:t xml:space="preserve">, </w:t>
      </w:r>
      <w:r>
        <w:rPr>
          <w:rFonts w:ascii="Courier New" w:hAnsi="Courier New" w:cs="Courier New" w:eastAsia="Courier New"/>
          <w:sz w:val="20"/>
          <w:szCs w:val="20"/>
        </w:rPr>
        <w:t>ChronicCond_*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Historia ubezpieczenia:</w:t>
      </w: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>NoOfMonths_PartA/B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Koszty:</w:t>
      </w:r>
      <w:r>
        <w:t xml:space="preserve"> </w:t>
      </w:r>
      <w:r>
        <w:rPr>
          <w:rFonts w:ascii="Courier New" w:hAnsi="Courier New" w:cs="Courier New" w:eastAsia="Courier New"/>
          <w:sz w:val="20"/>
          <w:szCs w:val="20"/>
        </w:rPr>
        <w:t>IP/OPAnnual*Amt</w:t>
      </w:r>
      <w:bookmarkStart w:id="9" w:name="_dx_frag_EndFragment"/>
      <w:bookmarkEnd w:id="9"/>
    </w:p>
    <w:p>
      <w:pPr>
        <w:jc w:val="center"/>
        <w:rPr>
          <w:rtl w:val="0"/>
          <w:lang w:val="pl-PL" w:bidi="pl-PL" w:eastAsia="pl-PL"/>
        </w:rPr>
      </w:pPr>
    </w:p>
    <w:p>
      <w:pPr>
        <w:jc w:val="center"/>
        <w:rPr>
          <w:rtl w:val="0"/>
          <w:lang w:val="pl-PL" w:bidi="pl-PL" w:eastAsia="pl-PL"/>
        </w:rPr>
      </w:pPr>
      <w:r>
        <w:rPr>
          <w:rtl w:val="0"/>
          <w:lang w:val="pl-PL" w:bidi="pl-PL" w:eastAsia="pl-PL"/>
        </w:rPr>
        <w:br w:type="page"/>
      </w:r>
    </w:p>
    <w:p>
      <w:pPr>
        <w:jc w:val="center"/>
        <w:rPr>
          <w:rtl w:val="0"/>
          <w:lang w:val="pl-PL" w:bidi="pl-PL" w:eastAsia="pl-PL"/>
        </w:rPr>
      </w:pPr>
      <w:r>
        <w:rPr>
          <w:rtl w:val="0"/>
          <w:lang w:val="pl-PL" w:bidi="pl-PL" w:eastAsia="pl-PL"/>
        </w:rPr>
        <w:t>Dodatkowa legenda</w:t>
      </w:r>
    </w:p>
    <w:p>
      <w:pPr>
        <w:jc w:val="center"/>
        <w:rPr>
          <w:rtl w:val="0"/>
          <w:lang w:val="pl-PL" w:bidi="pl-PL" w:eastAsia="pl-PL"/>
        </w:rPr>
      </w:pPr>
    </w:p>
    <w:p>
      <w:pPr>
        <w:spacing w:before="240" w:after="240"/>
        <w:ind w:firstLine="0" w:left="0" w:right="0"/>
        <w:outlineLvl w:val="1"/>
        <w:rPr>
          <w:b w:val="1"/>
          <w:sz w:val="36"/>
        </w:rPr>
      </w:pPr>
      <w:bookmarkStart w:id="10" w:name="_dx_frag_StartFragment"/>
      <w:bookmarkEnd w:id="10"/>
      <w:r>
        <w:rPr>
          <w:rFonts w:ascii="Times New Roman" w:hAnsi="Segoe UI Emoji"/>
          <w:b w:val="1"/>
          <w:sz w:val="36"/>
          <w:szCs w:val="36"/>
        </w:rPr>
        <w:t>🗺</w:t>
      </w:r>
      <w:r>
        <w:rPr>
          <w:rFonts w:ascii="Segoe UI Emoji" w:hAnsi="Segoe UI Emoji"/>
          <w:b w:val="1"/>
          <w:sz w:val="36"/>
          <w:szCs w:val="36"/>
        </w:rPr>
        <w:t>️</w:t>
      </w:r>
      <w:r>
        <w:rPr>
          <w:b w:val="1"/>
          <w:sz w:val="36"/>
          <w:szCs w:val="36"/>
        </w:rPr>
        <w:t xml:space="preserve"> Kody lokalizacyjne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State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Opis:</w:t>
      </w:r>
      <w:r>
        <w:t xml:space="preserve"> Dwucyfrowy kod stanu USA, w którym zamieszkuje beneficjent.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Format:</w:t>
      </w:r>
      <w:r>
        <w:t xml:space="preserve"> Liczby całkowite (</w:t>
      </w:r>
      <w:r>
        <w:rPr>
          <w:rFonts w:ascii="Courier New" w:hAnsi="Courier New" w:cs="Courier New" w:eastAsia="Courier New"/>
          <w:sz w:val="20"/>
          <w:szCs w:val="20"/>
        </w:rPr>
        <w:t>01</w:t>
      </w:r>
      <w:r>
        <w:t>–</w:t>
      </w:r>
      <w:r>
        <w:rPr>
          <w:rFonts w:ascii="Courier New" w:hAnsi="Courier New" w:cs="Courier New" w:eastAsia="Courier New"/>
          <w:sz w:val="20"/>
          <w:szCs w:val="20"/>
        </w:rPr>
        <w:t>56</w:t>
      </w:r>
      <w:r>
        <w:t>)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Przykład interpretacji: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01</w:t>
      </w:r>
      <w:r>
        <w:t xml:space="preserve"> = Alabama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06</w:t>
      </w:r>
      <w:r>
        <w:t xml:space="preserve"> = Kalifornia</w:t>
      </w:r>
    </w:p>
    <w:p>
      <w:pPr>
        <w:numPr>
          <w:ilvl w:val="1"/>
          <w:numId w:val="3"/>
        </w:numPr>
        <w:spacing w:before="240" w:after="240"/>
        <w:ind w:hanging="360" w:left="1440" w:right="0"/>
      </w:pPr>
      <w:r>
        <w:rPr>
          <w:rFonts w:ascii="Courier New" w:hAnsi="Courier New" w:cs="Courier New" w:eastAsia="Courier New"/>
          <w:sz w:val="20"/>
          <w:szCs w:val="20"/>
        </w:rPr>
        <w:t>36</w:t>
      </w:r>
      <w:r>
        <w:t xml:space="preserve"> = Nowy Jork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Źródło kodów:</w:t>
      </w:r>
      <w:r>
        <w:t xml:space="preserve"> U.S. Federal Information Processing Standards (FIPS codes)</w:t>
      </w:r>
    </w:p>
    <w:p>
      <w:pPr>
        <w:spacing w:before="240" w:after="240"/>
        <w:ind w:firstLine="0" w:left="0" w:right="0"/>
      </w:pPr>
      <w:r>
        <w:t xml:space="preserve">📌 Pełna lista: </w:t>
      </w:r>
      <w:hyperlink xmlns:r="http://schemas.openxmlformats.org/officeDocument/2006/relationships" r:id="R2" w:tgtFrame="_new">
        <w:r>
          <w:rPr>
            <w:rStyle w:val="C2"/>
          </w:rPr>
          <w:t>https://en.wikipedia.org/wiki/Federal_Information_Processing_Standard_state_code</w:t>
        </w:r>
      </w:hyperlink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5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County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Opis:</w:t>
      </w:r>
      <w:r>
        <w:t xml:space="preserve"> Kod hrabstwa (powiatu) w obrębie stanu.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Format:</w:t>
      </w:r>
      <w:r>
        <w:t xml:space="preserve"> 3-cyfrowa liczba, zgodna z FIPS County Code.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Znaczenie:</w:t>
      </w:r>
      <w:r>
        <w:t xml:space="preserve"> Pozwala na bardziej szczegółowe określenie miejsca zamieszkania pacjenta.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Uwaga:</w:t>
      </w:r>
      <w:r>
        <w:t xml:space="preserve"> Kod </w:t>
      </w:r>
      <w:r>
        <w:rPr>
          <w:rFonts w:ascii="Courier New" w:hAnsi="Courier New" w:cs="Courier New" w:eastAsia="Courier New"/>
          <w:sz w:val="20"/>
          <w:szCs w:val="20"/>
        </w:rPr>
        <w:t>230</w:t>
      </w:r>
      <w:r>
        <w:t xml:space="preserve"> w stanie </w:t>
      </w:r>
      <w:r>
        <w:rPr>
          <w:rFonts w:ascii="Courier New" w:hAnsi="Courier New" w:cs="Courier New" w:eastAsia="Courier New"/>
          <w:sz w:val="20"/>
          <w:szCs w:val="20"/>
        </w:rPr>
        <w:t>39</w:t>
      </w:r>
      <w:r>
        <w:t xml:space="preserve"> może np. oznaczać Franklin County w Ohio (</w:t>
      </w:r>
      <w:r>
        <w:rPr>
          <w:rFonts w:ascii="Courier New" w:hAnsi="Courier New" w:cs="Courier New" w:eastAsia="Courier New"/>
          <w:sz w:val="20"/>
          <w:szCs w:val="20"/>
        </w:rPr>
        <w:t>39</w:t>
      </w:r>
      <w:r>
        <w:t xml:space="preserve"> = Ohio, </w:t>
      </w:r>
      <w:r>
        <w:rPr>
          <w:rFonts w:ascii="Courier New" w:hAnsi="Courier New" w:cs="Courier New" w:eastAsia="Courier New"/>
          <w:sz w:val="20"/>
          <w:szCs w:val="20"/>
        </w:rPr>
        <w:t>230</w:t>
      </w:r>
      <w:r>
        <w:t xml:space="preserve"> = Franklin).</w:t>
      </w:r>
    </w:p>
    <w:p>
      <w:pPr>
        <w:jc w:val="center"/>
      </w:pPr>
      <w:r>
        <w:t>📌 Pełna lista (fips state + county): https://www.census.gov/library/reference/code-lists/ansi.html</w:t>
      </w:r>
      <w:bookmarkStart w:id="11" w:name="_dx_frag_EndFragment"/>
      <w:bookmarkEnd w:id="11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CB8ADED"/>
    <w:multiLevelType w:val="hybridMultilevel"/>
    <w:lvl w:ilvl="0" w:tplc="224F2E3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8F53EA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7EAFEA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9D448D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857DF3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EF259A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E99795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7B8367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B7E4D2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303FC469"/>
    <w:multiLevelType w:val="hybridMultilevel"/>
    <w:lvl w:ilvl="0" w:tplc="692011E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264F90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8E0DF1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1494F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94AC87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D1F2C5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A9CFD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B25001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C54475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64053EF2"/>
    <w:multiLevelType w:val="hybridMultilevel"/>
    <w:lvl w:ilvl="0" w:tplc="7F71BFE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11FEF8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66D59E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9AAF8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0EBE4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45AF5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24E5B7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CFA75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3C38F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321A35F"/>
    <w:multiLevelType w:val="hybridMultilevel"/>
    <w:lvl w:ilvl="0" w:tplc="3127113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A9C837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7043B5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DE0803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A28028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9F6951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DE9646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511D03B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3F602F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en.wikipedia.org/wiki/Federal_Information_Processing_Standard_state_code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Karolina Goliszewska</dc:creator>
  <dcterms:created xsi:type="dcterms:W3CDTF">2025-05-31T18:48:14Z</dcterms:created>
  <cp:lastModifiedBy>Karolina Goliszewska</cp:lastModifiedBy>
  <dcterms:modified xsi:type="dcterms:W3CDTF">2025-05-31T18:48:14Z</dcterms:modified>
  <cp:revision>1</cp:revision>
</cp:coreProperties>
</file>