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tl w:val="0"/>
          <w:lang w:val="pl-PL" w:bidi="pl-PL" w:eastAsia="pl-PL"/>
        </w:rPr>
      </w:pPr>
      <w:r>
        <w:rPr>
          <w:rtl w:val="0"/>
          <w:lang w:val="pl-PL" w:bidi="pl-PL" w:eastAsia="pl-PL"/>
        </w:rPr>
        <w:t>KLUCZOWE POJĘCIA DOTYCZĄCE DATA</w:t>
      </w:r>
      <w:r>
        <w:rPr>
          <w:rtl w:val="0"/>
          <w:lang w:val="pl-PL" w:bidi="pl-PL" w:eastAsia="pl-PL"/>
        </w:rPr>
        <w:t xml:space="preserve"> </w:t>
      </w:r>
      <w:r>
        <w:rPr>
          <w:rtl w:val="0"/>
          <w:lang w:val="pl-PL" w:bidi="pl-PL" w:eastAsia="pl-PL"/>
        </w:rPr>
        <w:t>SETU</w:t>
      </w:r>
    </w:p>
    <w:p>
      <w:pPr>
        <w:jc w:val="center"/>
        <w:rPr>
          <w:rtl w:val="0"/>
          <w:lang w:val="pl-PL" w:bidi="pl-PL" w:eastAsia="pl-PL"/>
        </w:rPr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Medicare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Rządowy system ubezpieczeń zdrowotnych w USA, głównie dla osób powyżej 65 roku życia.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To źródło finansowania usług medycznych, które są rozliczane w roszczeniach (</w:t>
      </w:r>
      <w:r>
        <w:rPr>
          <w:rFonts w:ascii="Courier New" w:hAnsi="Courier New" w:cs="Courier New" w:eastAsia="Courier New"/>
          <w:sz w:val="20"/>
          <w:szCs w:val="20"/>
        </w:rPr>
        <w:t>claims</w:t>
      </w:r>
      <w:r>
        <w:t>).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Provider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Świadczeniodawca – może to być lekarz, szpital, klinika, laboratorium.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Obiekt predykcji – chcemy przewidzieć, czy dany provider jest oszukańczy (</w:t>
      </w:r>
      <w:r>
        <w:rPr>
          <w:rFonts w:ascii="Courier New" w:hAnsi="Courier New" w:cs="Courier New" w:eastAsia="Courier New"/>
          <w:sz w:val="20"/>
          <w:szCs w:val="20"/>
        </w:rPr>
        <w:t>PotentialFraud</w:t>
      </w:r>
      <w:r>
        <w:t>).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Beneficjent (Beneficiary)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Osoba ubezpieczona w systemie Medicare, czyli pacjent.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Każdy </w:t>
      </w:r>
      <w:r>
        <w:rPr>
          <w:rFonts w:ascii="Courier New" w:hAnsi="Courier New" w:cs="Courier New" w:eastAsia="Courier New"/>
          <w:sz w:val="20"/>
          <w:szCs w:val="20"/>
        </w:rPr>
        <w:t>BeneID</w:t>
      </w:r>
      <w:r>
        <w:t xml:space="preserve"> reprezentuje jednego pacjenta. Jego dane zawarte są w pliku </w:t>
      </w:r>
      <w:r>
        <w:rPr>
          <w:rFonts w:ascii="Courier New" w:hAnsi="Courier New" w:cs="Courier New" w:eastAsia="Courier New"/>
          <w:sz w:val="20"/>
          <w:szCs w:val="20"/>
        </w:rPr>
        <w:t>Beneficiarydata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Roszczenie (Claim)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Wniosek o refundację kosztów leczenia złożony przez providera do Medicare.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Każde roszczenie zawiera informacje o leczeniu, procedurach, kosztach i przypisanym pacjencie.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Fraud (Oszustwo)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Świadome działania mające na celu nienależne uzyskanie pieniędzy z Medicare.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Kolumna </w:t>
      </w:r>
      <w:r>
        <w:rPr>
          <w:rFonts w:ascii="Courier New" w:hAnsi="Courier New" w:cs="Courier New" w:eastAsia="Courier New"/>
          <w:sz w:val="20"/>
          <w:szCs w:val="20"/>
        </w:rPr>
        <w:t>PotentialFraud</w:t>
      </w:r>
      <w:r>
        <w:t xml:space="preserve"> mówi, czy provider był oznaczony jako podejrzany.</w:t>
      </w: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Inpatient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Leczenie, podczas którego pacjent </w:t>
      </w:r>
      <w:r>
        <w:rPr>
          <w:b w:val="1"/>
        </w:rPr>
        <w:t>zostaje w szpitalu</w:t>
      </w:r>
      <w:r>
        <w:t xml:space="preserve"> (np. na noc).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Plik </w:t>
      </w:r>
      <w:r>
        <w:rPr>
          <w:rFonts w:ascii="Courier New" w:hAnsi="Courier New" w:cs="Courier New" w:eastAsia="Courier New"/>
          <w:sz w:val="20"/>
          <w:szCs w:val="20"/>
        </w:rPr>
        <w:t>Inpatientdata</w:t>
      </w:r>
      <w:r>
        <w:t xml:space="preserve"> – zawiera roszczenia związane z hospitalizacjami (daty przyjęcia, wypisu itd.).</w:t>
      </w:r>
    </w:p>
    <w:p>
      <w:pPr>
        <w:spacing w:before="0" w:after="0"/>
        <w:ind w:firstLine="0" w:left="0" w:right="0"/>
      </w:pPr>
      <w:r>
        <w:pict>
          <v:rect xmlns:o="urn:schemas-microsoft-com:office:office" id="7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Outpatient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Leczenie </w:t>
      </w:r>
      <w:r>
        <w:rPr>
          <w:b w:val="1"/>
        </w:rPr>
        <w:t>bez hospitalizacji</w:t>
      </w:r>
      <w:r>
        <w:t xml:space="preserve"> – np. wizyta u lekarza, badania ambulatoryjne.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Plik </w:t>
      </w:r>
      <w:r>
        <w:rPr>
          <w:rFonts w:ascii="Courier New" w:hAnsi="Courier New" w:cs="Courier New" w:eastAsia="Courier New"/>
          <w:sz w:val="20"/>
          <w:szCs w:val="20"/>
        </w:rPr>
        <w:t>Outpatientdata</w:t>
      </w:r>
      <w:r>
        <w:t xml:space="preserve"> – zawiera roszczenia związane z leczeniem bez pobytu w szpitalu.</w:t>
      </w:r>
    </w:p>
    <w:p>
      <w:pPr>
        <w:spacing w:before="0" w:after="0"/>
        <w:ind w:firstLine="0" w:left="0" w:right="0"/>
      </w:pPr>
      <w:r>
        <w:pict>
          <v:rect xmlns:o="urn:schemas-microsoft-com:office:office" id="8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Diagnosis Code (Kod diagnozy)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Standardowy kod (np. ICD-10) opisujący rozpoznanie choroby.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Występuje jako </w:t>
      </w:r>
      <w:r>
        <w:rPr>
          <w:rFonts w:ascii="Courier New" w:hAnsi="Courier New" w:cs="Courier New" w:eastAsia="Courier New"/>
          <w:sz w:val="20"/>
          <w:szCs w:val="20"/>
        </w:rPr>
        <w:t>DiagnosisGroupCode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DiagnosisCode1</w:t>
      </w:r>
      <w:r>
        <w:t>, itd. – używany do uzasadnienia procedur.</w:t>
      </w:r>
    </w:p>
    <w:p>
      <w:pPr>
        <w:spacing w:before="0" w:after="0"/>
        <w:ind w:firstLine="0" w:left="0" w:right="0"/>
      </w:pPr>
      <w:r>
        <w:pict>
          <v:rect xmlns:o="urn:schemas-microsoft-com:office:office" id="9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Procedure Code (Kod procedury)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Kod opisujący wykonane świadczenie medyczne (np. operacja, badanie, zabieg).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Występuje jako </w:t>
      </w:r>
      <w:r>
        <w:rPr>
          <w:rFonts w:ascii="Courier New" w:hAnsi="Courier New" w:cs="Courier New" w:eastAsia="Courier New"/>
          <w:sz w:val="20"/>
          <w:szCs w:val="20"/>
        </w:rPr>
        <w:t>ProcedureCode1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ProcedureCode2</w:t>
      </w:r>
      <w:r>
        <w:t>, itd. – powiązany z kosztami leczenia.</w:t>
      </w:r>
    </w:p>
    <w:p>
      <w:pPr>
        <w:spacing w:before="0" w:after="0"/>
        <w:ind w:firstLine="0" w:left="0" w:right="0"/>
      </w:pPr>
      <w:r>
        <w:pict>
          <v:rect xmlns:o="urn:schemas-microsoft-com:office:office" id="10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Refundacja (Reimbursement)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Kwota, jaką Medicare zwraca providerowi za wykonane świadczenie.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Kolumny takie jak </w:t>
      </w:r>
      <w:r>
        <w:rPr>
          <w:rFonts w:ascii="Courier New" w:hAnsi="Courier New" w:cs="Courier New" w:eastAsia="Courier New"/>
          <w:sz w:val="20"/>
          <w:szCs w:val="20"/>
        </w:rPr>
        <w:t>InscClaimAmtReimbursed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IPAnnualReimbursementAmt</w:t>
      </w:r>
      <w:r>
        <w:t xml:space="preserve"> itp.</w:t>
      </w:r>
    </w:p>
    <w:p>
      <w:pPr>
        <w:spacing w:before="0" w:after="0"/>
        <w:ind w:firstLine="0" w:left="0" w:right="0"/>
      </w:pPr>
      <w:r>
        <w:pict>
          <v:rect xmlns:o="urn:schemas-microsoft-com:office:office" id="11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rFonts w:ascii="Times New Roman" w:hAnsi="Segoe UI Emoji"/>
          <w:b w:val="1"/>
          <w:sz w:val="27"/>
          <w:szCs w:val="27"/>
          <w:rtl w:val="0"/>
          <w:lang w:val="pl-PL" w:bidi="pl-PL" w:eastAsia="pl-PL"/>
        </w:rPr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Choroby przewlekłe (Chronic Conditions)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Długoterminowe schorzenia, np. cukrzyca, niewydolność serca, nowotwór.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Zawarte jako kolumny </w:t>
      </w:r>
      <w:r>
        <w:rPr>
          <w:rFonts w:ascii="Courier New" w:hAnsi="Courier New" w:cs="Courier New" w:eastAsia="Courier New"/>
          <w:sz w:val="20"/>
          <w:szCs w:val="20"/>
        </w:rPr>
        <w:t>ChronicCond_*</w:t>
      </w:r>
      <w:r>
        <w:t xml:space="preserve"> w pliku </w:t>
      </w:r>
      <w:r>
        <w:rPr>
          <w:rFonts w:ascii="Courier New" w:hAnsi="Courier New" w:cs="Courier New" w:eastAsia="Courier New"/>
          <w:sz w:val="20"/>
          <w:szCs w:val="20"/>
        </w:rPr>
        <w:t>Beneficiarydata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1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PotentialFraud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Etykieta klasyfikująca providera jako potencjalnie oszukańczego (</w:t>
      </w:r>
      <w:r>
        <w:rPr>
          <w:rFonts w:ascii="Courier New" w:hAnsi="Courier New" w:cs="Courier New" w:eastAsia="Courier New"/>
          <w:sz w:val="20"/>
          <w:szCs w:val="20"/>
        </w:rPr>
        <w:t>Yes</w:t>
      </w:r>
      <w:r>
        <w:t>) lub nie (</w:t>
      </w:r>
      <w:r>
        <w:rPr>
          <w:rFonts w:ascii="Courier New" w:hAnsi="Courier New" w:cs="Courier New" w:eastAsia="Courier New"/>
          <w:sz w:val="20"/>
          <w:szCs w:val="20"/>
        </w:rPr>
        <w:t>No</w:t>
      </w:r>
      <w:r>
        <w:t>).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Kluczowa zmienna celu (target) w pliku </w:t>
      </w:r>
      <w:r>
        <w:rPr>
          <w:rFonts w:ascii="Courier New" w:hAnsi="Courier New" w:cs="Courier New" w:eastAsia="Courier New"/>
          <w:sz w:val="20"/>
          <w:szCs w:val="20"/>
        </w:rPr>
        <w:t>Train.csv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1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Data urodzenia, śmierci (</w:t>
      </w:r>
      <w:r>
        <w:rPr>
          <w:rFonts w:ascii="Courier New" w:hAnsi="Courier New" w:cs="Courier New" w:eastAsia="Courier New"/>
          <w:b w:val="1"/>
          <w:sz w:val="20"/>
          <w:szCs w:val="27"/>
        </w:rPr>
        <w:t>DOB</w:t>
      </w:r>
      <w:r>
        <w:rPr>
          <w:b w:val="1"/>
          <w:sz w:val="27"/>
          <w:szCs w:val="27"/>
        </w:rPr>
        <w:t xml:space="preserve">, </w:t>
      </w:r>
      <w:r>
        <w:rPr>
          <w:rFonts w:ascii="Courier New" w:hAnsi="Courier New" w:cs="Courier New" w:eastAsia="Courier New"/>
          <w:b w:val="1"/>
          <w:sz w:val="20"/>
          <w:szCs w:val="27"/>
        </w:rPr>
        <w:t>DOD</w:t>
      </w:r>
      <w:r>
        <w:rPr>
          <w:b w:val="1"/>
          <w:sz w:val="27"/>
          <w:szCs w:val="27"/>
        </w:rPr>
        <w:t>)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rPr>
          <w:b w:val="1"/>
        </w:rPr>
        <w:t>Co to:</w:t>
      </w:r>
      <w:r>
        <w:t xml:space="preserve"> Informacje o wieku i ewentualnym zgonie beneficjenta.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rPr>
          <w:b w:val="1"/>
        </w:rPr>
        <w:t>W datasetcie:</w:t>
      </w:r>
      <w:r>
        <w:t xml:space="preserve"> Używane do określenia wieku pacjenta i ew. ryzyka nadużycia (np. roszczenie po śmierci).</w:t>
      </w:r>
      <w:bookmarkStart w:id="1" w:name="_dx_frag_EndFragment"/>
      <w:bookmarkEnd w:id="1"/>
    </w:p>
    <w:p>
      <w:pPr>
        <w:jc w:val="center"/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E384EFC"/>
    <w:multiLevelType w:val="hybridMultilevel"/>
    <w:lvl w:ilvl="0" w:tplc="72842AC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72362D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EA98B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CEA093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6744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598C42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7A942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43081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17852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7056229E"/>
    <w:multiLevelType w:val="hybridMultilevel"/>
    <w:lvl w:ilvl="0" w:tplc="322DE13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BA0641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4BC8A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814A6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DC5FD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71CC5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07A80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FE1A7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CD967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5E85DBC2"/>
    <w:multiLevelType w:val="hybridMultilevel"/>
    <w:lvl w:ilvl="0" w:tplc="562E59C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7D615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F75B7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B27A9B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51D74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65A847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12FD0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E1B6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8E557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490A0C9"/>
    <w:multiLevelType w:val="hybridMultilevel"/>
    <w:lvl w:ilvl="0" w:tplc="0EA4E34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A59EE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A649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711C6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B010E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3A122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67CB8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9E6D2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78662E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C948B8A"/>
    <w:multiLevelType w:val="hybridMultilevel"/>
    <w:lvl w:ilvl="0" w:tplc="7E979EC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0EB86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F883D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46F708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9D758E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3F6BC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8E5F1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45882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12FE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2830D00E"/>
    <w:multiLevelType w:val="hybridMultilevel"/>
    <w:lvl w:ilvl="0" w:tplc="6F6B11F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BDAB6B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5FCC2A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CD547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769D1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C9511C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3F602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2E71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D24957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C6AAC56"/>
    <w:multiLevelType w:val="hybridMultilevel"/>
    <w:lvl w:ilvl="0" w:tplc="24F161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8D02DB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C8307B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9A74A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ECA01B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1A6E5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2657A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99FD9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DAAEC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5E76824B"/>
    <w:multiLevelType w:val="hybridMultilevel"/>
    <w:lvl w:ilvl="0" w:tplc="1063EED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A954CB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6BA0B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B3D3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9EF33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D7DAD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6EA20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62EEBA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BAEE5E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4A8CE8CB"/>
    <w:multiLevelType w:val="hybridMultilevel"/>
    <w:lvl w:ilvl="0" w:tplc="1A07D07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062DA4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B259BC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F3778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E5A8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9B19D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30F4BD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AE1A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6328C7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4CF4AFC5"/>
    <w:multiLevelType w:val="hybridMultilevel"/>
    <w:lvl w:ilvl="0" w:tplc="4D2D1DE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3662C1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D1D3B3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C33CD4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4C57CD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51D69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F96DF0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762A53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AFC45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07114FD"/>
    <w:multiLevelType w:val="hybridMultilevel"/>
    <w:lvl w:ilvl="0" w:tplc="020BE8A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516505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9393ED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895F4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162D51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0F921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7C2D9F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1D4DE2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5A27D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3C1CEE42"/>
    <w:multiLevelType w:val="hybridMultilevel"/>
    <w:lvl w:ilvl="0" w:tplc="72409F4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9DAF7B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78F13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027109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3353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B8565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04390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278557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13F43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277D46CC"/>
    <w:multiLevelType w:val="hybridMultilevel"/>
    <w:lvl w:ilvl="0" w:tplc="7F2953A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321AA6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D18E0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25945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C35FB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E750DE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0C7F2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6B9B3F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15555F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Karolina Goliszewska</dc:creator>
  <dcterms:created xsi:type="dcterms:W3CDTF">2025-05-31T18:34:28Z</dcterms:created>
  <cp:lastModifiedBy>Karolina Goliszewska</cp:lastModifiedBy>
  <dcterms:modified xsi:type="dcterms:W3CDTF">2025-05-31T18:34:28Z</dcterms:modified>
  <cp:revision>1</cp:revision>
</cp:coreProperties>
</file>