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2"/>
        </w:rPr>
        <w:t>UNIVERSIDAD DEL EJEMPLO</w:t>
      </w:r>
    </w:p>
    <w:p>
      <w:pPr>
        <w:spacing w:after="80"/>
        <w:jc w:val="center"/>
      </w:pPr>
      <w:r>
        <w:rPr>
          <w:b/>
          <w:sz w:val="26"/>
        </w:rPr>
        <w:t>FACULTAD DE INGENIERÍA</w:t>
      </w:r>
    </w:p>
    <w:p>
      <w:pPr>
        <w:spacing w:after="960"/>
        <w:jc w:val="center"/>
      </w:pPr>
      <w:r>
        <w:rPr>
          <w:b w:val="0"/>
          <w:sz w:val="24"/>
        </w:rPr>
        <w:t>Carrera de Ingeniería Civil</w:t>
      </w:r>
    </w:p>
    <w:p>
      <w:pPr>
        <w:spacing w:after="720"/>
        <w:jc w:val="center"/>
      </w:pPr>
      <w:r>
        <w:rPr>
          <w:b/>
          <w:sz w:val="28"/>
        </w:rPr>
        <w:t>ADICIÓN DE CAL EN LAS PROPIEDADES MECÁNICAS DEL SUELO NATURAL</w:t>
      </w:r>
    </w:p>
    <w:p>
      <w:pPr>
        <w:spacing w:after="40"/>
        <w:jc w:val="center"/>
      </w:pPr>
      <w:r>
        <w:rPr>
          <w:b w:val="0"/>
          <w:sz w:val="24"/>
        </w:rPr>
        <w:t>Tesis para optar el título profesional de:</w:t>
      </w:r>
    </w:p>
    <w:p>
      <w:pPr>
        <w:spacing w:after="720"/>
        <w:jc w:val="center"/>
      </w:pPr>
      <w:r>
        <w:rPr>
          <w:b/>
          <w:sz w:val="24"/>
        </w:rPr>
        <w:t>Ingeniero Civil</w:t>
      </w:r>
    </w:p>
    <w:p>
      <w:pPr>
        <w:spacing w:after="40"/>
        <w:jc w:val="center"/>
      </w:pPr>
      <w:r>
        <w:rPr>
          <w:b w:val="0"/>
          <w:sz w:val="24"/>
        </w:rPr>
        <w:t>Autor: Juan Pérez Rojas</w:t>
      </w:r>
    </w:p>
    <w:p>
      <w:pPr>
        <w:spacing w:after="1200"/>
        <w:jc w:val="center"/>
      </w:pPr>
      <w:r>
        <w:rPr>
          <w:b w:val="0"/>
          <w:sz w:val="24"/>
        </w:rPr>
        <w:t>Asesor: Mg. Ana Torres Díaz</w:t>
      </w:r>
    </w:p>
    <w:p>
      <w:pPr>
        <w:jc w:val="center"/>
      </w:pPr>
      <w:r>
        <w:rPr>
          <w:b/>
        </w:rPr>
        <w:t>Lima, 20</w:t>
      </w:r>
      <w:r>
        <w:rPr>
          <w:b/>
          <w:color w:val="C00000"/>
        </w:rPr>
        <w:t>24</w:t>
      </w:r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I. INTRODUCCIÓN</w:t>
      </w:r>
    </w:p>
    <w:p>
      <w:pPr>
        <w:spacing w:line="360" w:lineRule="auto" w:after="120"/>
        <w:ind w:firstLine="709"/>
        <w:jc w:val="both"/>
      </w:pPr>
      <w:r>
        <w:t>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 xml:space="preserve">Con 5 % de cal, la resistencia a la compresión no confinada </w:t>
      </w:r>
      <w:r>
        <w:rPr>
          <w:i/>
        </w:rPr>
        <w:t>aumentó</w:t>
      </w:r>
      <w:r>
        <w:t xml:space="preserve"> un 18 % respecto al suelo natural a los 28 días de curado.</w:t>
      </w:r>
    </w:p>
    <w:p>
      <w:pPr>
        <w:spacing w:line="360" w:lineRule="auto"/>
        <w:ind w:firstLine="709"/>
        <w:jc w:val="both"/>
      </w:pPr>
      <w:r>
        <w:t xml:space="preserve">Según estudios previos, la cal reduce el índice de plasticidad de las arcillas </w:t>
      </w:r>
      <w:r>
        <w:fldChar w:fldCharType="begin"/>
      </w:r>
      <w:r>
        <w:instrText xml:space="preserve"> ADDIN CSL_CITATION {"citationItems":[{"id":"garcia2020"}]} </w:instrText>
      </w:r>
      <w:r>
        <w:fldChar w:fldCharType="separate"/>
      </w:r>
      <w:r>
        <w:t>(García, 2020)</w:t>
      </w:r>
      <w:r>
        <w:fldChar w:fldCharType="end"/>
      </w:r>
      <w:r>
        <w:t xml:space="preserve"> y mejora su trabajabilidad en obra.</w:t>
      </w:r>
    </w:p>
    <w:p>
      <w:pPr>
        <w:spacing w:line="360" w:lineRule="auto" w:after="120"/>
        <w:ind w:firstLine="709"/>
        <w:jc w:val="both"/>
      </w:pPr>
      <w:r>
        <w:t>Se ensayaron especímenes con 0 %, 3 %, 5 % y 7 % de cal hidratada, curados durante 7, 14 y 28 días. Los resultados se compararon con los requisitos del Manual de Carreteras para subrasantes.</w:t>
      </w:r>
    </w:p>
    <w:p>
      <w:pPr>
        <w:pStyle w:val="Heading2"/>
      </w:pPr>
      <w:r>
        <w:t>Tabla 1. Resultados del ensayo CBR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b/>
              </w:rPr>
              <w:t>Cal (%)</w:t>
            </w:r>
          </w:p>
        </w:tc>
        <w:tc>
          <w:tcPr>
            <w:tcW w:type="dxa" w:w="2835"/>
          </w:tcPr>
          <w:p>
            <w:r>
              <w:rPr>
                <w:b/>
              </w:rPr>
              <w:t>CBR (%)</w:t>
            </w:r>
          </w:p>
        </w:tc>
        <w:tc>
          <w:tcPr>
            <w:tcW w:type="dxa" w:w="2835"/>
          </w:tcPr>
          <w:p>
            <w:r>
              <w:rPr>
                <w:b/>
              </w:rPr>
              <w:t>Índice de plasticidad</w:t>
            </w:r>
          </w:p>
        </w:tc>
      </w:tr>
      <w:tr>
        <w:tc>
          <w:tcPr>
            <w:tcW w:type="dxa" w:w="2835"/>
          </w:tcPr>
          <w:p>
            <w:r>
              <w:t>0</w:t>
            </w:r>
          </w:p>
        </w:tc>
        <w:tc>
          <w:tcPr>
            <w:tcW w:type="dxa" w:w="2835"/>
          </w:tcPr>
          <w:p>
            <w:r>
              <w:t>4,2</w:t>
            </w:r>
          </w:p>
        </w:tc>
        <w:tc>
          <w:tcPr>
            <w:tcW w:type="dxa" w:w="2835"/>
          </w:tcPr>
          <w:p>
            <w:r>
              <w:t>24</w:t>
            </w:r>
          </w:p>
        </w:tc>
      </w:tr>
      <w:tr>
        <w:tc>
          <w:tcPr>
            <w:tcW w:type="dxa" w:w="2835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9,8</w:t>
            </w:r>
          </w:p>
        </w:tc>
        <w:tc>
          <w:tcPr>
            <w:tcW w:type="dxa" w:w="2835"/>
          </w:tcPr>
          <w:p>
            <w:r>
              <w:t>15</w:t>
            </w:r>
          </w:p>
        </w:tc>
      </w:tr>
      <w:tr>
        <w:tc>
          <w:tcPr>
            <w:tcW w:type="dxa" w:w="2835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14,6</w:t>
            </w:r>
          </w:p>
        </w:tc>
        <w:tc>
          <w:tcPr>
            <w:tcW w:type="dxa" w:w="2835"/>
          </w:tcPr>
          <w:p>
            <w:r>
              <w:t>9</w:t>
            </w:r>
          </w:p>
        </w:tc>
      </w:tr>
    </w:tbl>
    <w:p>
      <w:pPr>
        <w:spacing w:line="360" w:lineRule="auto" w:after="120"/>
        <w:ind w:firstLine="709"/>
        <w:jc w:val="both"/>
      </w:pPr>
      <w:r>
        <w:t>La tabla muestra que el CBR crece de forma sostenida con el contenido de cal hasta el 5 %.</w:t>
      </w:r>
    </w:p>
    <w:p>
      <w:pPr>
        <w:pStyle w:val="Heading1"/>
      </w:pPr>
      <w:r>
        <w:rPr>
          <w:rFonts w:ascii="Times New Roman" w:hAnsi="Times New Roman"/>
          <w:color w:val="000000"/>
        </w:rPr>
        <w:t>CAPÍTULO 2. DESARROLLO 2</w:t>
      </w:r>
    </w:p>
    <w:p>
      <w:pPr>
        <w:spacing w:line="360" w:lineRule="auto"/>
        <w:ind w:firstLine="709"/>
        <w:jc w:val="both"/>
      </w:pPr>
      <w:r>
        <w:t>[2.1]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[2.2]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[2.3]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[2.4]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[2.5]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[2.6]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[2.7]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[2.8]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[2.9]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[2.10]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[2.11]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[2.12]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[2.13]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[2.14] Se ensayaron especímenes con 0 %, 3 %, 5 % y 7 % de cal hidratada, curados durante 7, 14 y 28 días. Los resultados se compararon con los requisitos del Manual de Carreteras para subrasantes.</w:t>
      </w:r>
    </w:p>
    <w:p>
      <w:pPr>
        <w:pStyle w:val="Heading1"/>
      </w:pPr>
      <w:r>
        <w:rPr>
          <w:rFonts w:ascii="Times New Roman" w:hAnsi="Times New Roman"/>
          <w:color w:val="000000"/>
        </w:rPr>
        <w:t>CAPÍTULO 3. DESARROLLO 3</w:t>
      </w:r>
    </w:p>
    <w:p>
      <w:pPr>
        <w:spacing w:line="360" w:lineRule="auto"/>
        <w:ind w:firstLine="709"/>
        <w:jc w:val="both"/>
      </w:pPr>
      <w:r>
        <w:t>[3.1]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[3.2]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[3.3]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[3.4]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[3.5]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[3.6]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[3.7]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[3.8]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[3.9]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[3.10]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[3.11]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[3.12]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[3.13]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[3.14] Se ensayaron especímenes con 0 %, 3 %, 5 % y 7 % de cal hidratada, curados durante 7, 14 y 28 días. Los resultados se compararon con los requisitos del Manual de Carreteras para subrasantes.</w:t>
      </w:r>
    </w:p>
    <w:p>
      <w:pPr>
        <w:pStyle w:val="Heading1"/>
      </w:pPr>
      <w:r>
        <w:rPr>
          <w:rFonts w:ascii="Times New Roman" w:hAnsi="Times New Roman"/>
          <w:color w:val="000000"/>
        </w:rPr>
        <w:t>CAPÍTULO 4. DESARROLLO 4</w:t>
      </w:r>
    </w:p>
    <w:p>
      <w:pPr>
        <w:spacing w:line="360" w:lineRule="auto"/>
        <w:ind w:firstLine="709"/>
        <w:jc w:val="both"/>
      </w:pPr>
      <w:r>
        <w:t>[4.1]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[4.2]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[4.3]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[4.4]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[4.5]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[4.6]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[4.7]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[4.8]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[4.9]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[4.10]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[4.11]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[4.12]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[4.13]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[4.14] Se ensayaron especímenes con 0 %, 3 %, 5 % y 7 % de cal hidratada, curados durante 7, 14 y 28 días. Los resultados se compararon con los requisitos del Manual de Carreteras para subrasantes.</w:t>
      </w:r>
    </w:p>
    <w:p>
      <w:pPr>
        <w:pStyle w:val="Heading1"/>
      </w:pPr>
      <w:r>
        <w:rPr>
          <w:rFonts w:ascii="Times New Roman" w:hAnsi="Times New Roman"/>
          <w:color w:val="000000"/>
        </w:rPr>
        <w:t>CAPÍTULO 5. DESARROLLO 5</w:t>
      </w:r>
    </w:p>
    <w:p>
      <w:pPr>
        <w:spacing w:line="360" w:lineRule="auto"/>
        <w:ind w:firstLine="709"/>
        <w:jc w:val="both"/>
      </w:pPr>
      <w:r>
        <w:t>[5.1]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[5.2]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[5.3]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[5.4]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[5.5]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[5.6]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[5.7]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[5.8]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[5.9]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[5.10]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[5.11]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[5.12]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[5.13]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[5.14] Se ensayaron especímenes con 0 %, 3 %, 5 % y 7 % de cal hidratada, curados durante 7, 14 y 28 días. Los resultados se compararon con los requisitos del Manual de Carreteras para subrasantes.</w:t>
      </w:r>
    </w:p>
    <w:p>
      <w:pPr>
        <w:pStyle w:val="Heading1"/>
      </w:pPr>
      <w:r>
        <w:rPr>
          <w:rFonts w:ascii="Times New Roman" w:hAnsi="Times New Roman"/>
          <w:color w:val="000000"/>
        </w:rPr>
        <w:t>CAPÍTULO 6. DESARROLLO 6</w:t>
      </w:r>
    </w:p>
    <w:p>
      <w:pPr>
        <w:spacing w:line="360" w:lineRule="auto"/>
        <w:ind w:firstLine="709"/>
        <w:jc w:val="both"/>
      </w:pPr>
      <w:r>
        <w:t>[6.1]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[6.2]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[6.3]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[6.4]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[6.5]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[6.6]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[6.7]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[6.8]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[6.9]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[6.10]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[6.11]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[6.12]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[6.13]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[6.14] Se ensayaron especímenes con 0 %, 3 %, 5 % y 7 % de cal hidratada, curados durante 7, 14 y 28 días. Los resultados se compararon con los requisitos del Manual de Carreteras para subrasantes.</w:t>
      </w:r>
    </w:p>
    <w:p>
      <w:pPr>
        <w:pStyle w:val="Heading1"/>
      </w:pPr>
      <w:r>
        <w:rPr>
          <w:rFonts w:ascii="Times New Roman" w:hAnsi="Times New Roman"/>
          <w:color w:val="000000"/>
        </w:rPr>
        <w:t>CAPÍTULO 7. DESARROLLO 7</w:t>
      </w:r>
    </w:p>
    <w:p>
      <w:pPr>
        <w:spacing w:line="360" w:lineRule="auto"/>
        <w:ind w:firstLine="709"/>
        <w:jc w:val="both"/>
      </w:pPr>
      <w:r>
        <w:t>[7.1]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[7.2]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[7.3]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[7.4]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[7.5]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[7.6]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[7.7]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[7.8]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[7.9]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[7.10]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[7.11]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[7.12] Se ensayaron especímenes con 0 %, 3 %, 5 % y 7 % de cal hidratada, curados durante 7, 14 y 28 días. Los resultados se compararon con los requisitos del Manual de Carreteras para subrasantes.</w:t>
      </w:r>
    </w:p>
    <w:p>
      <w:pPr>
        <w:spacing w:line="360" w:lineRule="auto"/>
        <w:ind w:firstLine="709"/>
        <w:jc w:val="both"/>
      </w:pPr>
      <w:r>
        <w:t>[7.13] 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>[7.14] Se ensayaron especímenes con 0 %, 3 %, 5 % y 7 % de cal hidratada, curados durante 7, 14 y 28 días. Los resultados se compararon con los requisitos del Manual de Carreteras para subrasantes.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