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20"/>
          <w:sz w:val="34"/>
          <w:szCs w:val="34"/>
        </w:rPr>
        <w:t xml:space="preserve">C2C RESUME BUILD TEMPLATE</w:t>
      </w:r>
    </w:p>
    <w:p>
      <w:pPr>
        <w:spacing w:after="250"/>
        <w:jc w:val="center"/>
      </w:pPr>
      <w:r>
        <w:rPr>
          <w:rFonts w:ascii="Calibri" w:cs="Calibri" w:eastAsia="Calibri" w:hAnsi="Calibri"/>
          <w:i/>
          <w:iCs/>
          <w:color w:val="595959"/>
          <w:sz w:val="19"/>
          <w:szCs w:val="19"/>
        </w:rPr>
        <w:t xml:space="preserve">Corp-to-corp / vendor submission format. Works for any role or domain.</w:t>
      </w:r>
    </w:p>
    <w:p>
      <w:pPr>
        <w:pBdr>
          <w:left w:val="single" w:color="1F3864" w:sz="18" w:space="6"/>
        </w:pBdr>
        <w:shd w:fill="F2F4F8" w:val="clear"/>
        <w:spacing w:after="40" w:before="120"/>
      </w:pPr>
      <w:r>
        <w:rPr>
          <w:rFonts w:ascii="Calibri" w:cs="Calibri" w:eastAsia="Calibri" w:hAnsi="Calibri"/>
          <w:b/>
          <w:bCs/>
          <w:color w:val="1F3864"/>
          <w:spacing w:val="16"/>
          <w:sz w:val="18"/>
          <w:szCs w:val="18"/>
        </w:rPr>
        <w:t xml:space="preserve">HOW TO USE</w:t>
      </w:r>
    </w:p>
    <w:p>
      <w:pPr>
        <w:pBdr>
          <w:left w:val="single" w:color="1F3864" w:sz="18" w:space="6"/>
        </w:pBdr>
        <w:shd w:fill="F2F4F8" w:val="clear"/>
        <w:spacing w:after="40" w:before="0"/>
      </w:pPr>
      <w:r>
        <w:rPr>
          <w:rFonts w:ascii="Calibri" w:cs="Calibri" w:eastAsia="Calibri" w:hAnsi="Calibri"/>
          <w:sz w:val="19"/>
          <w:szCs w:val="19"/>
        </w:rPr>
        <w:t xml:space="preserve">1.  Paste the target job description above this document and keep it open beside you.</w:t>
      </w:r>
    </w:p>
    <w:p>
      <w:pPr>
        <w:pBdr>
          <w:left w:val="single" w:color="1F3864" w:sz="18" w:space="6"/>
        </w:pBdr>
        <w:shd w:fill="F2F4F8" w:val="clear"/>
        <w:spacing w:after="40" w:before="0"/>
      </w:pPr>
      <w:r>
        <w:rPr>
          <w:rFonts w:ascii="Calibri" w:cs="Calibri" w:eastAsia="Calibri" w:hAnsi="Calibri"/>
          <w:sz w:val="19"/>
          <w:szCs w:val="19"/>
        </w:rPr>
        <w:t xml:space="preserve">2.  Fill every red slot with your real work. Red = you supply it. Black = guidance, delete it.</w:t>
      </w:r>
    </w:p>
    <w:p>
      <w:pPr>
        <w:pBdr>
          <w:left w:val="single" w:color="1F3864" w:sz="18" w:space="6"/>
        </w:pBdr>
        <w:shd w:fill="F2F4F8" w:val="clear"/>
        <w:spacing w:after="40" w:before="0"/>
      </w:pPr>
      <w:r>
        <w:rPr>
          <w:rFonts w:ascii="Calibri" w:cs="Calibri" w:eastAsia="Calibri" w:hAnsi="Calibri"/>
          <w:sz w:val="19"/>
          <w:szCs w:val="19"/>
        </w:rPr>
        <w:t xml:space="preserve">3.  Mirror the JD’s exact wording wherever it is truthfully yours — that is what recruiters search on.</w:t>
      </w:r>
    </w:p>
    <w:p>
      <w:pPr>
        <w:pBdr>
          <w:left w:val="single" w:color="1F3864" w:sz="18" w:space="6"/>
        </w:pBdr>
        <w:shd w:fill="F2F4F8" w:val="clear"/>
        <w:spacing w:after="40" w:before="0"/>
      </w:pPr>
      <w:r>
        <w:rPr>
          <w:rFonts w:ascii="Calibri" w:cs="Calibri" w:eastAsia="Calibri" w:hAnsi="Calibri"/>
          <w:sz w:val="19"/>
          <w:szCs w:val="19"/>
        </w:rPr>
        <w:t xml:space="preserve">4.  Hold every bullet to exactly two lines. See the rules page.</w:t>
      </w:r>
    </w:p>
    <w:p>
      <w:pPr>
        <w:pBdr>
          <w:left w:val="single" w:color="1F3864" w:sz="18" w:space="6"/>
        </w:pBdr>
        <w:shd w:fill="F2F4F8" w:val="clear"/>
        <w:spacing w:after="150" w:before="0"/>
      </w:pPr>
      <w:r>
        <w:rPr>
          <w:rFonts w:ascii="Calibri" w:cs="Calibri" w:eastAsia="Calibri" w:hAnsi="Calibri"/>
          <w:sz w:val="19"/>
          <w:szCs w:val="19"/>
        </w:rPr>
        <w:t xml:space="preserve">5.  Delete all guidance text and the final reference page before submitting.</w:t>
      </w:r>
    </w:p>
    <w:p>
      <w:pPr>
        <w:pBdr>
          <w:left w:val="single" w:color="1F3864" w:sz="18" w:space="6"/>
        </w:pBdr>
        <w:shd w:fill="F2F4F8" w:val="clear"/>
        <w:spacing w:after="40" w:before="120"/>
      </w:pPr>
      <w:r>
        <w:rPr>
          <w:rFonts w:ascii="Calibri" w:cs="Calibri" w:eastAsia="Calibri" w:hAnsi="Calibri"/>
          <w:b/>
          <w:bCs/>
          <w:color w:val="1F3864"/>
          <w:spacing w:val="16"/>
          <w:sz w:val="18"/>
          <w:szCs w:val="18"/>
        </w:rPr>
        <w:t xml:space="preserve">HOW C2C DIFFERS FROM DIRECT-HIRE</w:t>
      </w:r>
    </w:p>
    <w:p>
      <w:pPr>
        <w:pBdr>
          <w:left w:val="single" w:color="1F3864" w:sz="18" w:space="6"/>
        </w:pBdr>
        <w:shd w:fill="F2F4F8" w:val="clear"/>
        <w:spacing w:after="40" w:before="0"/>
      </w:pPr>
      <w:r>
        <w:rPr>
          <w:rFonts w:ascii="Calibri" w:cs="Calibri" w:eastAsia="Calibri" w:hAnsi="Calibri"/>
          <w:sz w:val="19"/>
          <w:szCs w:val="19"/>
        </w:rPr>
        <w:t xml:space="preserve">Length — 3 to 4 pages is normal and expected. Do not compress.</w:t>
      </w:r>
    </w:p>
    <w:p>
      <w:pPr>
        <w:pBdr>
          <w:left w:val="single" w:color="1F3864" w:sz="18" w:space="6"/>
        </w:pBdr>
        <w:shd w:fill="F2F4F8" w:val="clear"/>
        <w:spacing w:after="40" w:before="0"/>
      </w:pPr>
      <w:r>
        <w:rPr>
          <w:rFonts w:ascii="Calibri" w:cs="Calibri" w:eastAsia="Calibri" w:hAnsi="Calibri"/>
          <w:sz w:val="19"/>
          <w:szCs w:val="19"/>
        </w:rPr>
        <w:t xml:space="preserve">Summary — a bulleted capability list of 8–10 points, not a short paragraph.</w:t>
      </w:r>
    </w:p>
    <w:p>
      <w:pPr>
        <w:pBdr>
          <w:left w:val="single" w:color="1F3864" w:sz="18" w:space="6"/>
        </w:pBdr>
        <w:shd w:fill="F2F4F8" w:val="clear"/>
        <w:spacing w:after="40" w:before="0"/>
      </w:pPr>
      <w:r>
        <w:rPr>
          <w:rFonts w:ascii="Calibri" w:cs="Calibri" w:eastAsia="Calibri" w:hAnsi="Calibri"/>
          <w:sz w:val="19"/>
          <w:szCs w:val="19"/>
        </w:rPr>
        <w:t xml:space="preserve">Roles — headed by client name, with an Environment line closing each engagement.</w:t>
      </w:r>
    </w:p>
    <w:p>
      <w:pPr>
        <w:pBdr>
          <w:left w:val="single" w:color="1F3864" w:sz="18" w:space="6"/>
        </w:pBdr>
        <w:shd w:fill="F2F4F8" w:val="clear"/>
        <w:spacing w:after="40" w:before="0"/>
      </w:pPr>
      <w:r>
        <w:rPr>
          <w:rFonts w:ascii="Calibri" w:cs="Calibri" w:eastAsia="Calibri" w:hAnsi="Calibri"/>
          <w:sz w:val="19"/>
          <w:szCs w:val="19"/>
        </w:rPr>
        <w:t xml:space="preserve">Skills — broader and more granular; the vendor keyword-matches before the client ever sees it.</w:t>
      </w:r>
    </w:p>
    <w:p>
      <w:pPr>
        <w:pBdr>
          <w:left w:val="single" w:color="1F3864" w:sz="18" w:space="6"/>
        </w:pBdr>
        <w:shd w:fill="F2F4F8" w:val="clear"/>
        <w:spacing w:after="150" w:before="0"/>
      </w:pPr>
      <w:r>
        <w:rPr>
          <w:rFonts w:ascii="Calibri" w:cs="Calibri" w:eastAsia="Calibri" w:hAnsi="Calibri"/>
          <w:sz w:val="19"/>
          <w:szCs w:val="19"/>
        </w:rPr>
        <w:t xml:space="preserve">Contact — includes work authorization, the first thing a vendor screens for.</w:t>
      </w:r>
    </w:p>
    <w:p>
      <w:pPr>
        <w:pBdr>
          <w:bottom w:val="single" w:color="1F3864" w:sz="6" w:space="3"/>
        </w:pBdr>
        <w:spacing w:after="110" w:before="290"/>
      </w:pPr>
      <w:r>
        <w:rPr>
          <w:rFonts w:ascii="Calibri" w:cs="Calibri" w:eastAsia="Calibri" w:hAnsi="Calibri"/>
          <w:b/>
          <w:bCs/>
          <w:color w:val="1F3864"/>
          <w:spacing w:val="28"/>
          <w:sz w:val="22"/>
          <w:szCs w:val="22"/>
        </w:rPr>
        <w:t xml:space="preserve">CONTACT</w:t>
      </w:r>
    </w:p>
    <w:p>
      <w:pPr>
        <w:spacing w:after="65"/>
        <w:ind w:left="172"/>
      </w:pPr>
      <w:r>
        <w:rPr>
          <w:rFonts w:ascii="Calibri" w:cs="Calibri" w:eastAsia="Calibri" w:hAnsi="Calibri"/>
          <w:color w:val="B03A2E"/>
          <w:sz w:val="20"/>
          <w:szCs w:val="20"/>
        </w:rPr>
        <w:t xml:space="preserve">Full Name</w:t>
      </w:r>
    </w:p>
    <w:p>
      <w:pPr>
        <w:spacing w:after="65"/>
        <w:ind w:left="172"/>
      </w:pPr>
      <w:r>
        <w:rPr>
          <w:rFonts w:ascii="Calibri" w:cs="Calibri" w:eastAsia="Calibri" w:hAnsi="Calibri"/>
          <w:color w:val="B03A2E"/>
          <w:sz w:val="20"/>
          <w:szCs w:val="20"/>
        </w:rPr>
        <w:t xml:space="preserve">City, State  •  (___) ___-____  •  email@domain.com  •  linkedin.com/in/______</w:t>
      </w:r>
    </w:p>
    <w:p>
      <w:pPr>
        <w:spacing w:after="65"/>
        <w:ind w:left="172"/>
      </w:pPr>
      <w:r>
        <w:rPr>
          <w:rFonts w:ascii="Calibri" w:cs="Calibri" w:eastAsia="Calibri" w:hAnsi="Calibri"/>
          <w:color w:val="B03A2E"/>
          <w:sz w:val="20"/>
          <w:szCs w:val="20"/>
        </w:rPr>
        <w:t xml:space="preserve">Work Authorization: [status]   |   Relocation: [yes / no / open]   |   Availability: [notice period]</w:t>
      </w:r>
    </w:p>
    <w:p>
      <w:pPr>
        <w:spacing w:after="85"/>
      </w:pPr>
      <w:r>
        <w:rPr>
          <w:rFonts w:ascii="Calibri" w:cs="Calibri" w:eastAsia="Calibri" w:hAnsi="Calibri"/>
          <w:b w:val="false"/>
          <w:bCs w:val="false"/>
          <w:i/>
          <w:iCs/>
          <w:color w:val="595959"/>
          <w:sz w:val="19"/>
          <w:szCs w:val="19"/>
        </w:rPr>
        <w:t xml:space="preserve">State work authorization accurately — it is the first thing the vendor filters on.</w:t>
      </w:r>
    </w:p>
    <w:p>
      <w:pPr>
        <w:pBdr>
          <w:bottom w:val="single" w:color="1F3864" w:sz="6" w:space="3"/>
        </w:pBdr>
        <w:spacing w:after="110" w:before="290"/>
      </w:pPr>
      <w:r>
        <w:rPr>
          <w:rFonts w:ascii="Calibri" w:cs="Calibri" w:eastAsia="Calibri" w:hAnsi="Calibri"/>
          <w:b/>
          <w:bCs/>
          <w:color w:val="1F3864"/>
          <w:spacing w:val="28"/>
          <w:sz w:val="22"/>
          <w:szCs w:val="22"/>
        </w:rPr>
        <w:t xml:space="preserve">PROFESSIONAL SUMMARY</w:t>
      </w:r>
    </w:p>
    <w:p>
      <w:pPr>
        <w:spacing w:after="85"/>
      </w:pPr>
      <w:r>
        <w:rPr>
          <w:rFonts w:ascii="Calibri" w:cs="Calibri" w:eastAsia="Calibri" w:hAnsi="Calibri"/>
          <w:b w:val="false"/>
          <w:bCs w:val="false"/>
          <w:i/>
          <w:iCs/>
          <w:color w:val="595959"/>
          <w:sz w:val="19"/>
          <w:szCs w:val="19"/>
        </w:rPr>
        <w:t xml:space="preserve">8–10 bullets, two lines each. Every bullet is a capability statement, not a personality trait. The hints tell you what each should cover — replace the whole line with your own sentence.</w:t>
      </w:r>
    </w:p>
    <w:p>
      <w:pPr>
        <w:pStyle w:val="ListParagraph"/>
        <w:numPr>
          <w:ilvl w:val="0"/>
          <w:numId w:val="2"/>
        </w:numPr>
        <w:spacing w:after="60"/>
      </w:pPr>
      <w:r>
        <w:rPr>
          <w:rFonts w:ascii="Calibri" w:cs="Calibri" w:eastAsia="Calibri" w:hAnsi="Calibri"/>
          <w:color w:val="B03A2E"/>
          <w:sz w:val="20"/>
          <w:szCs w:val="20"/>
        </w:rPr>
        <w:t xml:space="preserve">1.  Headline — [Title] with [N]+ years across [domains, industries, or environment types].</w:t>
      </w:r>
    </w:p>
    <w:p>
      <w:pPr>
        <w:pStyle w:val="ListParagraph"/>
        <w:numPr>
          <w:ilvl w:val="0"/>
          <w:numId w:val="2"/>
        </w:numPr>
        <w:spacing w:after="60"/>
      </w:pPr>
      <w:r>
        <w:rPr>
          <w:rFonts w:ascii="Calibri" w:cs="Calibri" w:eastAsia="Calibri" w:hAnsi="Calibri"/>
          <w:color w:val="B03A2E"/>
          <w:sz w:val="20"/>
          <w:szCs w:val="20"/>
        </w:rPr>
        <w:t xml:space="preserve">2.  Primary technical depth — your strongest tool or platform, what you built in it, at what scale.</w:t>
      </w:r>
    </w:p>
    <w:p>
      <w:pPr>
        <w:pStyle w:val="ListParagraph"/>
        <w:numPr>
          <w:ilvl w:val="0"/>
          <w:numId w:val="2"/>
        </w:numPr>
        <w:spacing w:after="60"/>
      </w:pPr>
      <w:r>
        <w:rPr>
          <w:rFonts w:ascii="Calibri" w:cs="Calibri" w:eastAsia="Calibri" w:hAnsi="Calibri"/>
          <w:color w:val="B03A2E"/>
          <w:sz w:val="20"/>
          <w:szCs w:val="20"/>
        </w:rPr>
        <w:t xml:space="preserve">3.  Secondary technical depth — the next capability the JD asks for, with the same specificity.</w:t>
      </w:r>
    </w:p>
    <w:p>
      <w:pPr>
        <w:pStyle w:val="ListParagraph"/>
        <w:numPr>
          <w:ilvl w:val="0"/>
          <w:numId w:val="2"/>
        </w:numPr>
        <w:spacing w:after="60"/>
      </w:pPr>
      <w:r>
        <w:rPr>
          <w:rFonts w:ascii="Calibri" w:cs="Calibri" w:eastAsia="Calibri" w:hAnsi="Calibri"/>
          <w:color w:val="B03A2E"/>
          <w:sz w:val="20"/>
          <w:szCs w:val="20"/>
        </w:rPr>
        <w:t xml:space="preserve">4.  Design or build work — what you create from scratch, and the method or framework you use.</w:t>
      </w:r>
    </w:p>
    <w:p>
      <w:pPr>
        <w:pStyle w:val="ListParagraph"/>
        <w:numPr>
          <w:ilvl w:val="0"/>
          <w:numId w:val="2"/>
        </w:numPr>
        <w:spacing w:after="60"/>
      </w:pPr>
      <w:r>
        <w:rPr>
          <w:rFonts w:ascii="Calibri" w:cs="Calibri" w:eastAsia="Calibri" w:hAnsi="Calibri"/>
          <w:color w:val="B03A2E"/>
          <w:sz w:val="20"/>
          <w:szCs w:val="20"/>
        </w:rPr>
        <w:t xml:space="preserve">5.  Analysis or problem-solving — the hard problems you are handed and how you approach them.</w:t>
      </w:r>
    </w:p>
    <w:p>
      <w:pPr>
        <w:pStyle w:val="ListParagraph"/>
        <w:numPr>
          <w:ilvl w:val="0"/>
          <w:numId w:val="2"/>
        </w:numPr>
        <w:spacing w:after="60"/>
      </w:pPr>
      <w:r>
        <w:rPr>
          <w:rFonts w:ascii="Calibri" w:cs="Calibri" w:eastAsia="Calibri" w:hAnsi="Calibri"/>
          <w:color w:val="B03A2E"/>
          <w:sz w:val="20"/>
          <w:szCs w:val="20"/>
        </w:rPr>
        <w:t xml:space="preserve">6.  Delivery or operations — lifecycle phases you own end to end.</w:t>
      </w:r>
    </w:p>
    <w:p>
      <w:pPr>
        <w:pStyle w:val="ListParagraph"/>
        <w:numPr>
          <w:ilvl w:val="0"/>
          <w:numId w:val="2"/>
        </w:numPr>
        <w:spacing w:after="60"/>
      </w:pPr>
      <w:r>
        <w:rPr>
          <w:rFonts w:ascii="Calibri" w:cs="Calibri" w:eastAsia="Calibri" w:hAnsi="Calibri"/>
          <w:color w:val="B03A2E"/>
          <w:sz w:val="20"/>
          <w:szCs w:val="20"/>
        </w:rPr>
        <w:t xml:space="preserve">7.  Automation or efficiency — what you scripted or streamlined, and the time or volume reclaimed.</w:t>
      </w:r>
    </w:p>
    <w:p>
      <w:pPr>
        <w:pStyle w:val="ListParagraph"/>
        <w:numPr>
          <w:ilvl w:val="0"/>
          <w:numId w:val="2"/>
        </w:numPr>
        <w:spacing w:after="60"/>
      </w:pPr>
      <w:r>
        <w:rPr>
          <w:rFonts w:ascii="Calibri" w:cs="Calibri" w:eastAsia="Calibri" w:hAnsi="Calibri"/>
          <w:color w:val="B03A2E"/>
          <w:sz w:val="20"/>
          <w:szCs w:val="20"/>
        </w:rPr>
        <w:t xml:space="preserve">8.  Data, cloud, or infrastructure — platforms and the specific services you have worked in.</w:t>
      </w:r>
    </w:p>
    <w:p>
      <w:pPr>
        <w:pStyle w:val="ListParagraph"/>
        <w:numPr>
          <w:ilvl w:val="0"/>
          <w:numId w:val="2"/>
        </w:numPr>
        <w:spacing w:after="60"/>
      </w:pPr>
      <w:r>
        <w:rPr>
          <w:rFonts w:ascii="Calibri" w:cs="Calibri" w:eastAsia="Calibri" w:hAnsi="Calibri"/>
          <w:color w:val="B03A2E"/>
          <w:sz w:val="20"/>
          <w:szCs w:val="20"/>
        </w:rPr>
        <w:t xml:space="preserve">9.  Standards &amp; compliance — frameworks, methodologies, or regulations you have worked under.</w:t>
      </w:r>
    </w:p>
    <w:p>
      <w:pPr>
        <w:pStyle w:val="ListParagraph"/>
        <w:numPr>
          <w:ilvl w:val="0"/>
          <w:numId w:val="2"/>
        </w:numPr>
        <w:spacing w:after="60"/>
      </w:pPr>
      <w:r>
        <w:rPr>
          <w:rFonts w:ascii="Calibri" w:cs="Calibri" w:eastAsia="Calibri" w:hAnsi="Calibri"/>
          <w:color w:val="B03A2E"/>
          <w:sz w:val="20"/>
          <w:szCs w:val="20"/>
        </w:rPr>
        <w:t xml:space="preserve">10.  Leadership &amp; communication — people mentored, documentation authored, stakeholder reporting.</w:t>
      </w:r>
    </w:p>
    <w:p>
      <w:pPr>
        <w:spacing w:after="85"/>
      </w:pPr>
      <w:r>
        <w:rPr>
          <w:rFonts w:ascii="Calibri" w:cs="Calibri" w:eastAsia="Calibri" w:hAnsi="Calibri"/>
          <w:b w:val="false"/>
          <w:bCs w:val="false"/>
          <w:i/>
          <w:iCs/>
          <w:color w:val="595959"/>
          <w:sz w:val="19"/>
          <w:szCs w:val="19"/>
        </w:rPr>
        <w:t xml:space="preserve">Lead each bullet with a noun or a verb, never with "I" or "Having." Bullets 2 through 5 are where a vendor recruiter’s keyword search lands — put the JD’s own terminology there.</w:t>
      </w:r>
    </w:p>
    <w:p>
      <w:pPr>
        <w:pBdr>
          <w:bottom w:val="single" w:color="1F3864" w:sz="6" w:space="3"/>
        </w:pBdr>
        <w:spacing w:after="110" w:before="290"/>
      </w:pPr>
      <w:r>
        <w:rPr>
          <w:rFonts w:ascii="Calibri" w:cs="Calibri" w:eastAsia="Calibri" w:hAnsi="Calibri"/>
          <w:b/>
          <w:bCs/>
          <w:color w:val="1F3864"/>
          <w:spacing w:val="28"/>
          <w:sz w:val="22"/>
          <w:szCs w:val="22"/>
        </w:rPr>
        <w:t xml:space="preserve">TECHNICAL SKILLS</w:t>
      </w:r>
    </w:p>
    <w:p>
      <w:pPr>
        <w:spacing w:after="85"/>
      </w:pPr>
      <w:r>
        <w:rPr>
          <w:rFonts w:ascii="Calibri" w:cs="Calibri" w:eastAsia="Calibri" w:hAnsi="Calibri"/>
          <w:b w:val="false"/>
          <w:bCs w:val="false"/>
          <w:i/>
          <w:iCs/>
          <w:color w:val="595959"/>
          <w:sz w:val="19"/>
          <w:szCs w:val="19"/>
        </w:rPr>
        <w:t xml:space="preserve">Ten grouped categories, 5–7 items each. Rename or drop any category that does not fit your field — keep at least seven. Put the JD’s own terms first within each line, because recruiters scan left.</w:t>
      </w:r>
    </w:p>
    <w:p>
      <w:pPr>
        <w:spacing w:after="65"/>
        <w:ind w:left="172"/>
      </w:pPr>
      <w:r>
        <w:rPr>
          <w:rFonts w:ascii="Calibri" w:cs="Calibri" w:eastAsia="Calibri" w:hAnsi="Calibri"/>
          <w:b/>
          <w:bCs/>
          <w:sz w:val="20"/>
          <w:szCs w:val="20"/>
        </w:rPr>
        <w:t xml:space="preserve">Core Domain Skills:  </w:t>
      </w:r>
      <w:r>
        <w:rPr>
          <w:rFonts w:ascii="Calibri" w:cs="Calibri" w:eastAsia="Calibri" w:hAnsi="Calibri"/>
          <w:color w:val="B03A2E"/>
          <w:sz w:val="20"/>
          <w:szCs w:val="20"/>
        </w:rPr>
        <w:t xml:space="preserve">[5–7 items — the 5–7 capabilities central to your job function — pull these straight from the JD]</w:t>
      </w:r>
    </w:p>
    <w:p>
      <w:pPr>
        <w:spacing w:after="65"/>
        <w:ind w:left="172"/>
      </w:pPr>
      <w:r>
        <w:rPr>
          <w:rFonts w:ascii="Calibri" w:cs="Calibri" w:eastAsia="Calibri" w:hAnsi="Calibri"/>
          <w:b/>
          <w:bCs/>
          <w:sz w:val="20"/>
          <w:szCs w:val="20"/>
        </w:rPr>
        <w:t xml:space="preserve">Tools &amp; Platforms:  </w:t>
      </w:r>
      <w:r>
        <w:rPr>
          <w:rFonts w:ascii="Calibri" w:cs="Calibri" w:eastAsia="Calibri" w:hAnsi="Calibri"/>
          <w:color w:val="B03A2E"/>
          <w:sz w:val="20"/>
          <w:szCs w:val="20"/>
        </w:rPr>
        <w:t xml:space="preserve">[5–7 items — the primary systems you work in daily]</w:t>
      </w:r>
    </w:p>
    <w:p>
      <w:pPr>
        <w:spacing w:after="65"/>
        <w:ind w:left="172"/>
      </w:pPr>
      <w:r>
        <w:rPr>
          <w:rFonts w:ascii="Calibri" w:cs="Calibri" w:eastAsia="Calibri" w:hAnsi="Calibri"/>
          <w:b/>
          <w:bCs/>
          <w:sz w:val="20"/>
          <w:szCs w:val="20"/>
        </w:rPr>
        <w:t xml:space="preserve">Programming &amp; Scripting:  </w:t>
      </w:r>
      <w:r>
        <w:rPr>
          <w:rFonts w:ascii="Calibri" w:cs="Calibri" w:eastAsia="Calibri" w:hAnsi="Calibri"/>
          <w:color w:val="B03A2E"/>
          <w:sz w:val="20"/>
          <w:szCs w:val="20"/>
        </w:rPr>
        <w:t xml:space="preserve">[5–7 items — languages you can write unaided]</w:t>
      </w:r>
    </w:p>
    <w:p>
      <w:pPr>
        <w:spacing w:after="65"/>
        <w:ind w:left="172"/>
      </w:pPr>
      <w:r>
        <w:rPr>
          <w:rFonts w:ascii="Calibri" w:cs="Calibri" w:eastAsia="Calibri" w:hAnsi="Calibri"/>
          <w:b/>
          <w:bCs/>
          <w:sz w:val="20"/>
          <w:szCs w:val="20"/>
        </w:rPr>
        <w:t xml:space="preserve">Databases &amp; Data Handling:  </w:t>
      </w:r>
      <w:r>
        <w:rPr>
          <w:rFonts w:ascii="Calibri" w:cs="Calibri" w:eastAsia="Calibri" w:hAnsi="Calibri"/>
          <w:color w:val="B03A2E"/>
          <w:sz w:val="20"/>
          <w:szCs w:val="20"/>
        </w:rPr>
        <w:t xml:space="preserve">[5–7 items — databases, query languages, ETL or data-movement tools]</w:t>
      </w:r>
    </w:p>
    <w:p>
      <w:pPr>
        <w:spacing w:after="65"/>
        <w:ind w:left="172"/>
      </w:pPr>
      <w:r>
        <w:rPr>
          <w:rFonts w:ascii="Calibri" w:cs="Calibri" w:eastAsia="Calibri" w:hAnsi="Calibri"/>
          <w:b/>
          <w:bCs/>
          <w:sz w:val="20"/>
          <w:szCs w:val="20"/>
        </w:rPr>
        <w:t xml:space="preserve">Cloud &amp; Infrastructure:  </w:t>
      </w:r>
      <w:r>
        <w:rPr>
          <w:rFonts w:ascii="Calibri" w:cs="Calibri" w:eastAsia="Calibri" w:hAnsi="Calibri"/>
          <w:color w:val="B03A2E"/>
          <w:sz w:val="20"/>
          <w:szCs w:val="20"/>
        </w:rPr>
        <w:t xml:space="preserve">[5–7 items — providers plus the specific services you have used]</w:t>
      </w:r>
    </w:p>
    <w:p>
      <w:pPr>
        <w:spacing w:after="65"/>
        <w:ind w:left="172"/>
      </w:pPr>
      <w:r>
        <w:rPr>
          <w:rFonts w:ascii="Calibri" w:cs="Calibri" w:eastAsia="Calibri" w:hAnsi="Calibri"/>
          <w:b/>
          <w:bCs/>
          <w:sz w:val="20"/>
          <w:szCs w:val="20"/>
        </w:rPr>
        <w:t xml:space="preserve">Frameworks &amp; Methodologies:  </w:t>
      </w:r>
      <w:r>
        <w:rPr>
          <w:rFonts w:ascii="Calibri" w:cs="Calibri" w:eastAsia="Calibri" w:hAnsi="Calibri"/>
          <w:color w:val="B03A2E"/>
          <w:sz w:val="20"/>
          <w:szCs w:val="20"/>
        </w:rPr>
        <w:t xml:space="preserve">[5–7 items — standards, models, and delivery methods you have worked under]</w:t>
      </w:r>
    </w:p>
    <w:p>
      <w:pPr>
        <w:spacing w:after="65"/>
        <w:ind w:left="172"/>
      </w:pPr>
      <w:r>
        <w:rPr>
          <w:rFonts w:ascii="Calibri" w:cs="Calibri" w:eastAsia="Calibri" w:hAnsi="Calibri"/>
          <w:b/>
          <w:bCs/>
          <w:sz w:val="20"/>
          <w:szCs w:val="20"/>
        </w:rPr>
        <w:t xml:space="preserve">Testing &amp; Quality:  </w:t>
      </w:r>
      <w:r>
        <w:rPr>
          <w:rFonts w:ascii="Calibri" w:cs="Calibri" w:eastAsia="Calibri" w:hAnsi="Calibri"/>
          <w:color w:val="B03A2E"/>
          <w:sz w:val="20"/>
          <w:szCs w:val="20"/>
        </w:rPr>
        <w:t xml:space="preserve">[5–7 items — validation, QA, review, or audit practices in your field]</w:t>
      </w:r>
    </w:p>
    <w:p>
      <w:pPr>
        <w:spacing w:after="65"/>
        <w:ind w:left="172"/>
      </w:pPr>
      <w:r>
        <w:rPr>
          <w:rFonts w:ascii="Calibri" w:cs="Calibri" w:eastAsia="Calibri" w:hAnsi="Calibri"/>
          <w:b/>
          <w:bCs/>
          <w:sz w:val="20"/>
          <w:szCs w:val="20"/>
        </w:rPr>
        <w:t xml:space="preserve">Reporting &amp; Visualization:  </w:t>
      </w:r>
      <w:r>
        <w:rPr>
          <w:rFonts w:ascii="Calibri" w:cs="Calibri" w:eastAsia="Calibri" w:hAnsi="Calibri"/>
          <w:color w:val="B03A2E"/>
          <w:sz w:val="20"/>
          <w:szCs w:val="20"/>
        </w:rPr>
        <w:t xml:space="preserve">[5–7 items — dashboards, BI tools, documentation and reporting outputs]</w:t>
      </w:r>
    </w:p>
    <w:p>
      <w:pPr>
        <w:spacing w:after="65"/>
        <w:ind w:left="172"/>
      </w:pPr>
      <w:r>
        <w:rPr>
          <w:rFonts w:ascii="Calibri" w:cs="Calibri" w:eastAsia="Calibri" w:hAnsi="Calibri"/>
          <w:b/>
          <w:bCs/>
          <w:sz w:val="20"/>
          <w:szCs w:val="20"/>
        </w:rPr>
        <w:t xml:space="preserve">Collaboration &amp; Workflow:  </w:t>
      </w:r>
      <w:r>
        <w:rPr>
          <w:rFonts w:ascii="Calibri" w:cs="Calibri" w:eastAsia="Calibri" w:hAnsi="Calibri"/>
          <w:color w:val="B03A2E"/>
          <w:sz w:val="20"/>
          <w:szCs w:val="20"/>
        </w:rPr>
        <w:t xml:space="preserve">[5–7 items — ticketing, version control, project and comms tooling]</w:t>
      </w:r>
    </w:p>
    <w:p>
      <w:pPr>
        <w:spacing w:after="65"/>
        <w:ind w:left="172"/>
      </w:pPr>
      <w:r>
        <w:rPr>
          <w:rFonts w:ascii="Calibri" w:cs="Calibri" w:eastAsia="Calibri" w:hAnsi="Calibri"/>
          <w:b/>
          <w:bCs/>
          <w:sz w:val="20"/>
          <w:szCs w:val="20"/>
        </w:rPr>
        <w:t xml:space="preserve">Operating Systems &amp; Environments:  </w:t>
      </w:r>
      <w:r>
        <w:rPr>
          <w:rFonts w:ascii="Calibri" w:cs="Calibri" w:eastAsia="Calibri" w:hAnsi="Calibri"/>
          <w:color w:val="B03A2E"/>
          <w:sz w:val="20"/>
          <w:szCs w:val="20"/>
        </w:rPr>
        <w:t xml:space="preserve">[5–7 items — the platforms you operate on]</w:t>
      </w:r>
    </w:p>
    <w:p>
      <w:pPr>
        <w:spacing w:after="85"/>
      </w:pPr>
      <w:r>
        <w:rPr>
          <w:rFonts w:ascii="Calibri" w:cs="Calibri" w:eastAsia="Calibri" w:hAnsi="Calibri"/>
          <w:b w:val="false"/>
          <w:bCs w:val="false"/>
          <w:i/>
          <w:iCs/>
          <w:color w:val="595959"/>
          <w:sz w:val="19"/>
          <w:szCs w:val="19"/>
        </w:rPr>
        <w:t xml:space="preserve">Rules: no proficiency bars, star ratings, or percentages — they do not parse, and "Python: 78%" means nothing to anyone. No years-per-skill. List only what you would defend live: everything here is fair game for a whiteboard question.</w:t>
      </w:r>
    </w:p>
    <w:p>
      <w:pPr>
        <w:pBdr>
          <w:bottom w:val="single" w:color="1F3864" w:sz="6" w:space="3"/>
        </w:pBdr>
        <w:spacing w:after="110" w:before="290"/>
      </w:pPr>
      <w:r>
        <w:rPr>
          <w:rFonts w:ascii="Calibri" w:cs="Calibri" w:eastAsia="Calibri" w:hAnsi="Calibri"/>
          <w:b/>
          <w:bCs/>
          <w:color w:val="1F3864"/>
          <w:spacing w:val="28"/>
          <w:sz w:val="22"/>
          <w:szCs w:val="22"/>
        </w:rPr>
        <w:t xml:space="preserve">PROFESSIONAL EXPERIENCE</w:t>
      </w:r>
    </w:p>
    <w:p>
      <w:pPr>
        <w:spacing w:after="50"/>
      </w:pPr>
      <w:r>
        <w:rPr>
          <w:rFonts w:ascii="Calibri" w:cs="Calibri" w:eastAsia="Calibri" w:hAnsi="Calibri"/>
          <w:b w:val="false"/>
          <w:bCs w:val="false"/>
          <w:i/>
          <w:iCs/>
          <w:color w:val="595959"/>
          <w:sz w:val="19"/>
          <w:szCs w:val="19"/>
        </w:rPr>
        <w:t xml:space="preserve">Bullet anatomy — every bullet, every role. Two lines, no exceptions:</w:t>
      </w:r>
    </w:p>
    <w:p>
      <w:pPr>
        <w:pBdr>
          <w:left w:val="single" w:color="1F3864" w:sz="18" w:space="6"/>
        </w:pBdr>
        <w:shd w:fill="EEF1F7" w:val="clear"/>
        <w:spacing w:after="130" w:before="0"/>
      </w:pPr>
      <w:r>
        <w:rPr>
          <w:rFonts w:ascii="Calibri" w:cs="Calibri" w:eastAsia="Calibri" w:hAnsi="Calibri"/>
          <w:b/>
          <w:bCs/>
          <w:color w:val="1F3864"/>
          <w:sz w:val="20"/>
          <w:szCs w:val="20"/>
        </w:rPr>
        <w:t xml:space="preserve">[ACTION VERB] + [what you did] + [tool / method] + [scope or scale] + [outcome with a number]</w:t>
      </w:r>
    </w:p>
    <w:p>
      <w:pPr>
        <w:spacing w:after="85"/>
      </w:pPr>
      <w:r>
        <w:rPr>
          <w:rFonts w:ascii="Calibri" w:cs="Calibri" w:eastAsia="Calibri" w:hAnsi="Calibri"/>
          <w:b w:val="false"/>
          <w:bCs w:val="false"/>
          <w:i/>
          <w:iCs/>
          <w:color w:val="595959"/>
          <w:sz w:val="19"/>
          <w:szCs w:val="19"/>
        </w:rPr>
        <w:t xml:space="preserve">Reverse-chronological. Close every engagement with its Environment line — vendors and parsers both look for it.</w:t>
      </w:r>
    </w:p>
    <w:p>
      <w:pPr>
        <w:spacing w:after="65" w:before="180"/>
      </w:pPr>
      <w:r>
        <w:rPr>
          <w:rFonts w:ascii="Calibri" w:cs="Calibri" w:eastAsia="Calibri" w:hAnsi="Calibri"/>
          <w:b/>
          <w:bCs/>
          <w:sz w:val="21"/>
          <w:szCs w:val="21"/>
        </w:rPr>
        <w:t xml:space="preserve">Experience 1  —  most recent</w:t>
      </w:r>
    </w:p>
    <w:p>
      <w:pPr>
        <w:spacing w:after="65"/>
      </w:pPr>
      <w:r>
        <w:rPr>
          <w:rFonts w:ascii="Calibri" w:cs="Calibri" w:eastAsia="Calibri" w:hAnsi="Calibri"/>
          <w:b w:val="false"/>
          <w:bCs w:val="false"/>
          <w:i/>
          <w:iCs/>
          <w:color w:val="595959"/>
          <w:sz w:val="19"/>
          <w:szCs w:val="19"/>
        </w:rPr>
        <w:t xml:space="preserve">Deepest coverage. In C2C, 8–10 bullets can stay in the final version.</w:t>
      </w:r>
    </w:p>
    <w:p>
      <w:pPr>
        <w:spacing w:after="65"/>
        <w:ind w:left="172"/>
      </w:pPr>
      <w:r>
        <w:rPr>
          <w:rFonts w:ascii="Calibri" w:cs="Calibri" w:eastAsia="Calibri" w:hAnsi="Calibri"/>
          <w:color w:val="B03A2E"/>
          <w:sz w:val="20"/>
          <w:szCs w:val="20"/>
        </w:rPr>
        <w:t xml:space="preserve">Client / End Client | City, State | Mon YYYY – Mon YYYY</w:t>
      </w:r>
    </w:p>
    <w:p>
      <w:pPr>
        <w:spacing w:after="65"/>
        <w:ind w:left="172"/>
      </w:pPr>
      <w:r>
        <w:rPr>
          <w:rFonts w:ascii="Calibri" w:cs="Calibri" w:eastAsia="Calibri" w:hAnsi="Calibri"/>
          <w:color w:val="B03A2E"/>
          <w:sz w:val="20"/>
          <w:szCs w:val="20"/>
        </w:rPr>
        <w:t xml:space="preserve">Job Title  —  [note if the engagement ran through a vendor or prime]</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spacing w:after="55" w:before="85"/>
        <w:ind w:left="172"/>
      </w:pPr>
      <w:r>
        <w:rPr>
          <w:rFonts w:ascii="Calibri" w:cs="Calibri" w:eastAsia="Calibri" w:hAnsi="Calibri"/>
          <w:b/>
          <w:bCs/>
          <w:sz w:val="19"/>
          <w:szCs w:val="19"/>
        </w:rPr>
        <w:t xml:space="preserve">Environment:  </w:t>
      </w:r>
      <w:r>
        <w:rPr>
          <w:rFonts w:ascii="Calibri" w:cs="Calibri" w:eastAsia="Calibri" w:hAnsi="Calibri"/>
          <w:color w:val="B03A2E"/>
          <w:sz w:val="19"/>
          <w:szCs w:val="19"/>
        </w:rPr>
        <w:t xml:space="preserve">[every tool, platform, language, and system used on this engagement — comma separated]</w:t>
      </w:r>
    </w:p>
    <w:p>
      <w:pPr>
        <w:spacing w:after="65" w:before="180"/>
      </w:pPr>
      <w:r>
        <w:rPr>
          <w:rFonts w:ascii="Calibri" w:cs="Calibri" w:eastAsia="Calibri" w:hAnsi="Calibri"/>
          <w:b/>
          <w:bCs/>
          <w:sz w:val="21"/>
          <w:szCs w:val="21"/>
        </w:rPr>
        <w:t xml:space="preserve">Experience 2</w:t>
      </w:r>
    </w:p>
    <w:p>
      <w:pPr>
        <w:spacing w:after="65"/>
      </w:pPr>
      <w:r>
        <w:rPr>
          <w:rFonts w:ascii="Calibri" w:cs="Calibri" w:eastAsia="Calibri" w:hAnsi="Calibri"/>
          <w:b w:val="false"/>
          <w:bCs w:val="false"/>
          <w:i/>
          <w:iCs/>
          <w:color w:val="595959"/>
          <w:sz w:val="19"/>
          <w:szCs w:val="19"/>
        </w:rPr>
        <w:t xml:space="preserve">Keep 6–8 in the final version.</w:t>
      </w:r>
    </w:p>
    <w:p>
      <w:pPr>
        <w:spacing w:after="65"/>
        <w:ind w:left="172"/>
      </w:pPr>
      <w:r>
        <w:rPr>
          <w:rFonts w:ascii="Calibri" w:cs="Calibri" w:eastAsia="Calibri" w:hAnsi="Calibri"/>
          <w:color w:val="B03A2E"/>
          <w:sz w:val="20"/>
          <w:szCs w:val="20"/>
        </w:rPr>
        <w:t xml:space="preserve">Client / End Client | City, State | Mon YYYY – Mon YYYY</w:t>
      </w:r>
    </w:p>
    <w:p>
      <w:pPr>
        <w:spacing w:after="65"/>
        <w:ind w:left="172"/>
      </w:pPr>
      <w:r>
        <w:rPr>
          <w:rFonts w:ascii="Calibri" w:cs="Calibri" w:eastAsia="Calibri" w:hAnsi="Calibri"/>
          <w:color w:val="B03A2E"/>
          <w:sz w:val="20"/>
          <w:szCs w:val="20"/>
        </w:rPr>
        <w:t xml:space="preserve">Job Title  —  [note if the engagement ran through a vendor or prime]</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spacing w:after="55" w:before="85"/>
        <w:ind w:left="172"/>
      </w:pPr>
      <w:r>
        <w:rPr>
          <w:rFonts w:ascii="Calibri" w:cs="Calibri" w:eastAsia="Calibri" w:hAnsi="Calibri"/>
          <w:b/>
          <w:bCs/>
          <w:sz w:val="19"/>
          <w:szCs w:val="19"/>
        </w:rPr>
        <w:t xml:space="preserve">Environment:  </w:t>
      </w:r>
      <w:r>
        <w:rPr>
          <w:rFonts w:ascii="Calibri" w:cs="Calibri" w:eastAsia="Calibri" w:hAnsi="Calibri"/>
          <w:color w:val="B03A2E"/>
          <w:sz w:val="19"/>
          <w:szCs w:val="19"/>
        </w:rPr>
        <w:t xml:space="preserve">[every tool, platform, language, and system used on this engagement — comma separated]</w:t>
      </w:r>
    </w:p>
    <w:p>
      <w:pPr>
        <w:spacing w:after="65" w:before="180"/>
      </w:pPr>
      <w:r>
        <w:rPr>
          <w:rFonts w:ascii="Calibri" w:cs="Calibri" w:eastAsia="Calibri" w:hAnsi="Calibri"/>
          <w:b/>
          <w:bCs/>
          <w:sz w:val="21"/>
          <w:szCs w:val="21"/>
        </w:rPr>
        <w:t xml:space="preserve">Experience 3  —  earliest</w:t>
      </w:r>
    </w:p>
    <w:p>
      <w:pPr>
        <w:spacing w:after="65"/>
      </w:pPr>
      <w:r>
        <w:rPr>
          <w:rFonts w:ascii="Calibri" w:cs="Calibri" w:eastAsia="Calibri" w:hAnsi="Calibri"/>
          <w:b w:val="false"/>
          <w:bCs w:val="false"/>
          <w:i/>
          <w:iCs/>
          <w:color w:val="595959"/>
          <w:sz w:val="19"/>
          <w:szCs w:val="19"/>
        </w:rPr>
        <w:t xml:space="preserve">Keep 5–6. Label short engagements honestly.</w:t>
      </w:r>
    </w:p>
    <w:p>
      <w:pPr>
        <w:spacing w:after="65"/>
        <w:ind w:left="172"/>
      </w:pPr>
      <w:r>
        <w:rPr>
          <w:rFonts w:ascii="Calibri" w:cs="Calibri" w:eastAsia="Calibri" w:hAnsi="Calibri"/>
          <w:color w:val="B03A2E"/>
          <w:sz w:val="20"/>
          <w:szCs w:val="20"/>
        </w:rPr>
        <w:t xml:space="preserve">Client / End Client | City, State | Mon YYYY – Mon YYYY</w:t>
      </w:r>
    </w:p>
    <w:p>
      <w:pPr>
        <w:spacing w:after="65"/>
        <w:ind w:left="172"/>
      </w:pPr>
      <w:r>
        <w:rPr>
          <w:rFonts w:ascii="Calibri" w:cs="Calibri" w:eastAsia="Calibri" w:hAnsi="Calibri"/>
          <w:color w:val="B03A2E"/>
          <w:sz w:val="20"/>
          <w:szCs w:val="20"/>
        </w:rPr>
        <w:t xml:space="preserve">Job Title  —  [note if the engagement ran through a vendor or prime]</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pStyle w:val="ListParagraph"/>
        <w:numPr>
          <w:ilvl w:val="0"/>
          <w:numId w:val="3"/>
        </w:numPr>
        <w:spacing w:after="60"/>
      </w:pPr>
      <w:r>
        <w:rPr>
          <w:rFonts w:ascii="Calibri" w:cs="Calibri" w:eastAsia="Calibri" w:hAnsi="Calibri"/>
          <w:color w:val="B03A2E"/>
          <w:sz w:val="20"/>
          <w:szCs w:val="20"/>
        </w:rPr>
        <w:t xml:space="preserve">[ACTION VERB] + [what you did] + [tool / method] + [scope or scale] + [outcome with a number]</w:t>
      </w:r>
    </w:p>
    <w:p>
      <w:pPr>
        <w:spacing w:after="55" w:before="85"/>
        <w:ind w:left="172"/>
      </w:pPr>
      <w:r>
        <w:rPr>
          <w:rFonts w:ascii="Calibri" w:cs="Calibri" w:eastAsia="Calibri" w:hAnsi="Calibri"/>
          <w:b/>
          <w:bCs/>
          <w:sz w:val="19"/>
          <w:szCs w:val="19"/>
        </w:rPr>
        <w:t xml:space="preserve">Environment:  </w:t>
      </w:r>
      <w:r>
        <w:rPr>
          <w:rFonts w:ascii="Calibri" w:cs="Calibri" w:eastAsia="Calibri" w:hAnsi="Calibri"/>
          <w:color w:val="B03A2E"/>
          <w:sz w:val="19"/>
          <w:szCs w:val="19"/>
        </w:rPr>
        <w:t xml:space="preserve">[every tool, platform, language, and system used on this engagement — comma separated]</w:t>
      </w:r>
    </w:p>
    <w:p>
      <w:pPr>
        <w:pBdr>
          <w:bottom w:val="single" w:color="1F3864" w:sz="6" w:space="3"/>
        </w:pBdr>
        <w:spacing w:after="110" w:before="290"/>
      </w:pPr>
      <w:r>
        <w:rPr>
          <w:rFonts w:ascii="Calibri" w:cs="Calibri" w:eastAsia="Calibri" w:hAnsi="Calibri"/>
          <w:b/>
          <w:bCs/>
          <w:color w:val="1F3864"/>
          <w:spacing w:val="28"/>
          <w:sz w:val="22"/>
          <w:szCs w:val="22"/>
        </w:rPr>
        <w:t xml:space="preserve">EDUCATION</w:t>
      </w:r>
    </w:p>
    <w:p>
      <w:pPr>
        <w:spacing w:after="65"/>
        <w:ind w:left="172"/>
      </w:pPr>
      <w:r>
        <w:rPr>
          <w:rFonts w:ascii="Calibri" w:cs="Calibri" w:eastAsia="Calibri" w:hAnsi="Calibri"/>
          <w:color w:val="B03A2E"/>
          <w:sz w:val="20"/>
          <w:szCs w:val="20"/>
        </w:rPr>
        <w:t xml:space="preserve">Degree, Major | University | City, State | Mon YYYY – Mon YYYY</w:t>
      </w:r>
    </w:p>
    <w:p>
      <w:pPr>
        <w:pBdr>
          <w:bottom w:val="single" w:color="1F3864" w:sz="6" w:space="3"/>
        </w:pBdr>
        <w:spacing w:after="110" w:before="290"/>
      </w:pPr>
      <w:r>
        <w:rPr>
          <w:rFonts w:ascii="Calibri" w:cs="Calibri" w:eastAsia="Calibri" w:hAnsi="Calibri"/>
          <w:b/>
          <w:bCs/>
          <w:color w:val="1F3864"/>
          <w:spacing w:val="28"/>
          <w:sz w:val="22"/>
          <w:szCs w:val="22"/>
        </w:rPr>
        <w:t xml:space="preserve">CERTIFICATIONS</w:t>
      </w:r>
    </w:p>
    <w:p>
      <w:pPr>
        <w:spacing w:after="65"/>
        <w:ind w:left="172"/>
      </w:pPr>
      <w:r>
        <w:rPr>
          <w:rFonts w:ascii="Calibri" w:cs="Calibri" w:eastAsia="Calibri" w:hAnsi="Calibri"/>
          <w:color w:val="B03A2E"/>
          <w:sz w:val="20"/>
          <w:szCs w:val="20"/>
        </w:rPr>
        <w:t xml:space="preserve">Certification | Issuer | Earned Mon YYYY   (delete this section entirely if you have none)</w:t>
      </w:r>
    </w:p>
    <w:p>
      <w:pPr>
        <w:pageBreakBefore/>
      </w:pPr>
      <w:r>
        <w:rPr>
          <w:sz w:val="20"/>
          <w:szCs w:val="20"/>
        </w:rPr>
        <w:t xml:space="preserve"/>
      </w:r>
    </w:p>
    <w:p>
      <w:pPr>
        <w:spacing w:after="60"/>
        <w:jc w:val="center"/>
      </w:pPr>
      <w:r>
        <w:rPr>
          <w:rFonts w:ascii="Calibri" w:cs="Calibri" w:eastAsia="Calibri" w:hAnsi="Calibri"/>
          <w:b/>
          <w:bCs/>
          <w:color w:val="1F3864"/>
          <w:spacing w:val="20"/>
          <w:sz w:val="34"/>
          <w:szCs w:val="34"/>
        </w:rPr>
        <w:t xml:space="preserve">THE RULES BEHIND THE SLOTS</w:t>
      </w:r>
    </w:p>
    <w:p>
      <w:pPr>
        <w:spacing w:after="250"/>
        <w:jc w:val="center"/>
      </w:pPr>
      <w:r>
        <w:rPr>
          <w:rFonts w:ascii="Calibri" w:cs="Calibri" w:eastAsia="Calibri" w:hAnsi="Calibri"/>
          <w:i/>
          <w:iCs/>
          <w:color w:val="595959"/>
          <w:sz w:val="19"/>
          <w:szCs w:val="19"/>
        </w:rPr>
        <w:t xml:space="preserve">Reference only — delete before submitting to any vendor.</w:t>
      </w:r>
    </w:p>
    <w:p>
      <w:pPr>
        <w:pBdr>
          <w:bottom w:val="single" w:color="1F3864" w:sz="6" w:space="3"/>
        </w:pBdr>
        <w:spacing w:after="110" w:before="290"/>
      </w:pPr>
      <w:r>
        <w:rPr>
          <w:rFonts w:ascii="Calibri" w:cs="Calibri" w:eastAsia="Calibri" w:hAnsi="Calibri"/>
          <w:b/>
          <w:bCs/>
          <w:color w:val="1F3864"/>
          <w:spacing w:val="28"/>
          <w:sz w:val="22"/>
          <w:szCs w:val="22"/>
        </w:rPr>
        <w:t xml:space="preserve">THE TWO-LINE RULE</w:t>
      </w:r>
    </w:p>
    <w:p>
      <w:pPr>
        <w:spacing w:after="85"/>
      </w:pPr>
      <w:r>
        <w:rPr>
          <w:rFonts w:ascii="Calibri" w:cs="Calibri" w:eastAsia="Calibri" w:hAnsi="Calibri"/>
          <w:b/>
          <w:bCs/>
          <w:i w:val="false"/>
          <w:iCs w:val="false"/>
          <w:color w:val="000000"/>
          <w:sz w:val="20"/>
          <w:szCs w:val="20"/>
        </w:rPr>
        <w:t xml:space="preserve">Every bullet must occupy exactly two lines. Not one, not three.</w:t>
      </w:r>
    </w:p>
    <w:p>
      <w:pPr>
        <w:spacing w:after="85"/>
      </w:pPr>
      <w:r>
        <w:rPr>
          <w:rFonts w:ascii="Calibri" w:cs="Calibri" w:eastAsia="Calibri" w:hAnsi="Calibri"/>
          <w:b w:val="false"/>
          <w:bCs w:val="false"/>
          <w:i w:val="false"/>
          <w:iCs w:val="false"/>
          <w:color w:val="000000"/>
          <w:sz w:val="19"/>
          <w:szCs w:val="19"/>
        </w:rPr>
        <w:t xml:space="preserve">One line means you stopped at the duty and left out the scope and the outcome. Three lines means you merged two accomplishments into one bullet, and the reader’s eye skips it. Two lines is the width at which a bullet carries a full claim and still gets read.</w:t>
      </w:r>
    </w:p>
    <w:p>
      <w:pPr>
        <w:spacing w:after="85"/>
      </w:pPr>
      <w:r>
        <w:rPr>
          <w:rFonts w:ascii="Calibri" w:cs="Calibri" w:eastAsia="Calibri" w:hAnsi="Calibri"/>
          <w:b w:val="false"/>
          <w:bCs w:val="false"/>
          <w:i w:val="false"/>
          <w:iCs w:val="false"/>
          <w:color w:val="000000"/>
          <w:sz w:val="19"/>
          <w:szCs w:val="19"/>
        </w:rPr>
        <w:t xml:space="preserve">At 10.5pt on a standard page, two full lines is roughly 24–32 words. Write the bullet, then check it against the page — not the word count. If it runs three lines, the fix is almost always to split it into two bullets, not to trim adjectives. If it falls short of two, you are missing either the scale or the result.</w:t>
      </w:r>
    </w:p>
    <w:p>
      <w:pPr>
        <w:spacing w:after="85"/>
      </w:pPr>
      <w:r>
        <w:rPr>
          <w:rFonts w:ascii="Calibri" w:cs="Calibri" w:eastAsia="Calibri" w:hAnsi="Calibri"/>
          <w:b w:val="false"/>
          <w:bCs w:val="false"/>
          <w:i/>
          <w:iCs/>
          <w:color w:val="595959"/>
          <w:sz w:val="19"/>
          <w:szCs w:val="19"/>
        </w:rPr>
        <w:t xml:space="preserve">This governs experience bullets and, in the C2C format, summary bullets. A prose summary paragraph is exempt — that one runs 5–6 lines as a single block.</w:t>
      </w:r>
    </w:p>
    <w:p>
      <w:pPr>
        <w:pBdr>
          <w:bottom w:val="single" w:color="1F3864" w:sz="6" w:space="3"/>
        </w:pBdr>
        <w:spacing w:after="110" w:before="290"/>
      </w:pPr>
      <w:r>
        <w:rPr>
          <w:rFonts w:ascii="Calibri" w:cs="Calibri" w:eastAsia="Calibri" w:hAnsi="Calibri"/>
          <w:b/>
          <w:bCs/>
          <w:color w:val="1F3864"/>
          <w:spacing w:val="28"/>
          <w:sz w:val="22"/>
          <w:szCs w:val="22"/>
        </w:rPr>
        <w:t xml:space="preserve">ACTION VERB BANK</w:t>
      </w:r>
    </w:p>
    <w:p>
      <w:pPr>
        <w:spacing w:after="40"/>
      </w:pPr>
      <w:r>
        <w:rPr>
          <w:rFonts w:ascii="Calibri" w:cs="Calibri" w:eastAsia="Calibri" w:hAnsi="Calibri"/>
          <w:b/>
          <w:bCs/>
          <w:i w:val="false"/>
          <w:iCs w:val="false"/>
          <w:color w:val="000000"/>
          <w:sz w:val="20"/>
          <w:szCs w:val="20"/>
        </w:rPr>
        <w:t xml:space="preserve">Built it  —  highest value, use most</w:t>
      </w:r>
    </w:p>
    <w:p>
      <w:pPr>
        <w:spacing w:after="85"/>
      </w:pPr>
      <w:r>
        <w:rPr>
          <w:rFonts w:ascii="Calibri" w:cs="Calibri" w:eastAsia="Calibri" w:hAnsi="Calibri"/>
          <w:b w:val="false"/>
          <w:bCs w:val="false"/>
          <w:i w:val="false"/>
          <w:iCs w:val="false"/>
          <w:color w:val="000000"/>
          <w:sz w:val="19"/>
          <w:szCs w:val="19"/>
        </w:rPr>
        <w:t xml:space="preserve">Engineered · Designed · Developed · Built · Architected · Implemented · Deployed · Automated · Launched · Integrated · Configured · Migrated</w:t>
      </w:r>
    </w:p>
    <w:p>
      <w:pPr>
        <w:spacing w:after="40"/>
      </w:pPr>
      <w:r>
        <w:rPr>
          <w:rFonts w:ascii="Calibri" w:cs="Calibri" w:eastAsia="Calibri" w:hAnsi="Calibri"/>
          <w:b/>
          <w:bCs/>
          <w:i w:val="false"/>
          <w:iCs w:val="false"/>
          <w:color w:val="000000"/>
          <w:sz w:val="20"/>
          <w:szCs w:val="20"/>
        </w:rPr>
        <w:t xml:space="preserve">Analyzed &amp; solved</w:t>
      </w:r>
    </w:p>
    <w:p>
      <w:pPr>
        <w:spacing w:after="85"/>
      </w:pPr>
      <w:r>
        <w:rPr>
          <w:rFonts w:ascii="Calibri" w:cs="Calibri" w:eastAsia="Calibri" w:hAnsi="Calibri"/>
          <w:b w:val="false"/>
          <w:bCs w:val="false"/>
          <w:i w:val="false"/>
          <w:iCs w:val="false"/>
          <w:color w:val="000000"/>
          <w:sz w:val="19"/>
          <w:szCs w:val="19"/>
        </w:rPr>
        <w:t xml:space="preserve">Analyzed · Diagnosed · Investigated · Resolved · Troubleshot · Identified · Evaluated · Assessed · Modeled · Forecasted · Validated</w:t>
      </w:r>
    </w:p>
    <w:p>
      <w:pPr>
        <w:spacing w:after="40"/>
      </w:pPr>
      <w:r>
        <w:rPr>
          <w:rFonts w:ascii="Calibri" w:cs="Calibri" w:eastAsia="Calibri" w:hAnsi="Calibri"/>
          <w:b/>
          <w:bCs/>
          <w:i w:val="false"/>
          <w:iCs w:val="false"/>
          <w:color w:val="000000"/>
          <w:sz w:val="20"/>
          <w:szCs w:val="20"/>
        </w:rPr>
        <w:t xml:space="preserve">Improved</w:t>
      </w:r>
    </w:p>
    <w:p>
      <w:pPr>
        <w:spacing w:after="85"/>
      </w:pPr>
      <w:r>
        <w:rPr>
          <w:rFonts w:ascii="Calibri" w:cs="Calibri" w:eastAsia="Calibri" w:hAnsi="Calibri"/>
          <w:b w:val="false"/>
          <w:bCs w:val="false"/>
          <w:i w:val="false"/>
          <w:iCs w:val="false"/>
          <w:color w:val="000000"/>
          <w:sz w:val="19"/>
          <w:szCs w:val="19"/>
        </w:rPr>
        <w:t xml:space="preserve">Optimized · Reduced · Increased · Streamlined · Consolidated · Refactored · Standardized · Accelerated · Eliminated · Scaled</w:t>
      </w:r>
    </w:p>
    <w:p>
      <w:pPr>
        <w:spacing w:after="40"/>
      </w:pPr>
      <w:r>
        <w:rPr>
          <w:rFonts w:ascii="Calibri" w:cs="Calibri" w:eastAsia="Calibri" w:hAnsi="Calibri"/>
          <w:b/>
          <w:bCs/>
          <w:i w:val="false"/>
          <w:iCs w:val="false"/>
          <w:color w:val="000000"/>
          <w:sz w:val="20"/>
          <w:szCs w:val="20"/>
        </w:rPr>
        <w:t xml:space="preserve">Led  —  the seniority signal</w:t>
      </w:r>
    </w:p>
    <w:p>
      <w:pPr>
        <w:spacing w:after="85"/>
      </w:pPr>
      <w:r>
        <w:rPr>
          <w:rFonts w:ascii="Calibri" w:cs="Calibri" w:eastAsia="Calibri" w:hAnsi="Calibri"/>
          <w:b w:val="false"/>
          <w:bCs w:val="false"/>
          <w:i w:val="false"/>
          <w:iCs w:val="false"/>
          <w:color w:val="000000"/>
          <w:sz w:val="19"/>
          <w:szCs w:val="19"/>
        </w:rPr>
        <w:t xml:space="preserve">Led · Owned · Directed · Managed · Coordinated · Mentored · Established · Drove · Spearheaded · Championed · Onboarded</w:t>
      </w:r>
    </w:p>
    <w:p>
      <w:pPr>
        <w:spacing w:after="40"/>
      </w:pPr>
      <w:r>
        <w:rPr>
          <w:rFonts w:ascii="Calibri" w:cs="Calibri" w:eastAsia="Calibri" w:hAnsi="Calibri"/>
          <w:b/>
          <w:bCs/>
          <w:i w:val="false"/>
          <w:iCs w:val="false"/>
          <w:color w:val="000000"/>
          <w:sz w:val="20"/>
          <w:szCs w:val="20"/>
        </w:rPr>
        <w:t xml:space="preserve">Communicated</w:t>
      </w:r>
    </w:p>
    <w:p>
      <w:pPr>
        <w:spacing w:after="85"/>
      </w:pPr>
      <w:r>
        <w:rPr>
          <w:rFonts w:ascii="Calibri" w:cs="Calibri" w:eastAsia="Calibri" w:hAnsi="Calibri"/>
          <w:b w:val="false"/>
          <w:bCs w:val="false"/>
          <w:i w:val="false"/>
          <w:iCs w:val="false"/>
          <w:color w:val="000000"/>
          <w:sz w:val="19"/>
          <w:szCs w:val="19"/>
        </w:rPr>
        <w:t xml:space="preserve">Documented · Presented · Briefed · Reported · Advised · Trained · Partnered · Negotiated · Facilitated</w:t>
      </w:r>
    </w:p>
    <w:p>
      <w:pPr>
        <w:spacing w:after="40"/>
      </w:pPr>
      <w:r>
        <w:rPr>
          <w:rFonts w:ascii="Calibri" w:cs="Calibri" w:eastAsia="Calibri" w:hAnsi="Calibri"/>
          <w:b/>
          <w:bCs/>
          <w:i w:val="false"/>
          <w:iCs w:val="false"/>
          <w:color w:val="B03A2E"/>
          <w:sz w:val="20"/>
          <w:szCs w:val="20"/>
        </w:rPr>
        <w:t xml:space="preserve">Never use</w:t>
      </w:r>
    </w:p>
    <w:p>
      <w:pPr>
        <w:spacing w:after="85"/>
      </w:pPr>
      <w:r>
        <w:rPr>
          <w:rFonts w:ascii="Calibri" w:cs="Calibri" w:eastAsia="Calibri" w:hAnsi="Calibri"/>
          <w:b w:val="false"/>
          <w:bCs w:val="false"/>
          <w:i w:val="false"/>
          <w:iCs w:val="false"/>
          <w:color w:val="B03A2E"/>
          <w:sz w:val="19"/>
          <w:szCs w:val="19"/>
        </w:rPr>
        <w:t xml:space="preserve">Responsible for · Helped · Assisted · Worked on · Participated in · Involved in · Utilized · Tasked with · Familiar with · Exposure to</w:t>
      </w:r>
    </w:p>
    <w:p>
      <w:pPr>
        <w:pBdr>
          <w:bottom w:val="single" w:color="1F3864" w:sz="6" w:space="3"/>
        </w:pBdr>
        <w:spacing w:after="110" w:before="290"/>
      </w:pPr>
      <w:r>
        <w:rPr>
          <w:rFonts w:ascii="Calibri" w:cs="Calibri" w:eastAsia="Calibri" w:hAnsi="Calibri"/>
          <w:b/>
          <w:bCs/>
          <w:color w:val="1F3864"/>
          <w:spacing w:val="28"/>
          <w:sz w:val="22"/>
          <w:szCs w:val="22"/>
        </w:rPr>
        <w:t xml:space="preserve">FINDING YOUR METRICS</w:t>
      </w:r>
    </w:p>
    <w:p>
      <w:pPr>
        <w:spacing w:after="85"/>
      </w:pPr>
      <w:r>
        <w:rPr>
          <w:rFonts w:ascii="Calibri" w:cs="Calibri" w:eastAsia="Calibri" w:hAnsi="Calibri"/>
          <w:b w:val="false"/>
          <w:bCs w:val="false"/>
          <w:i/>
          <w:iCs/>
          <w:color w:val="595959"/>
          <w:sz w:val="19"/>
          <w:szCs w:val="19"/>
        </w:rPr>
        <w:t xml:space="preserve">Run every role through all six lenses before concluding you have no numbers. Almost everyone has them and simply has not looked this way.</w:t>
      </w:r>
    </w:p>
    <w:p>
      <w:pPr>
        <w:pStyle w:val="ListParagraph"/>
        <w:numPr>
          <w:ilvl w:val="0"/>
          <w:numId w:val="2"/>
        </w:numPr>
        <w:spacing w:after="60"/>
      </w:pPr>
      <w:r>
        <w:rPr>
          <w:rFonts w:ascii="Calibri" w:cs="Calibri" w:eastAsia="Calibri" w:hAnsi="Calibri"/>
          <w:sz w:val="20"/>
          <w:szCs w:val="20"/>
        </w:rPr>
        <w:t xml:space="preserve">Volume — items handled, tickets closed, records processed, features shipped, users or accounts supported</w:t>
      </w:r>
    </w:p>
    <w:p>
      <w:pPr>
        <w:pStyle w:val="ListParagraph"/>
        <w:numPr>
          <w:ilvl w:val="0"/>
          <w:numId w:val="2"/>
        </w:numPr>
        <w:spacing w:after="60"/>
      </w:pPr>
      <w:r>
        <w:rPr>
          <w:rFonts w:ascii="Calibri" w:cs="Calibri" w:eastAsia="Calibri" w:hAnsi="Calibri"/>
          <w:sz w:val="20"/>
          <w:szCs w:val="20"/>
        </w:rPr>
        <w:t xml:space="preserve">Scale — size of the system, environment, dataset, budget, portfolio, or user base you worked across</w:t>
      </w:r>
    </w:p>
    <w:p>
      <w:pPr>
        <w:pStyle w:val="ListParagraph"/>
        <w:numPr>
          <w:ilvl w:val="0"/>
          <w:numId w:val="2"/>
        </w:numPr>
        <w:spacing w:after="60"/>
      </w:pPr>
      <w:r>
        <w:rPr>
          <w:rFonts w:ascii="Calibri" w:cs="Calibri" w:eastAsia="Calibri" w:hAnsi="Calibri"/>
          <w:sz w:val="20"/>
          <w:szCs w:val="20"/>
        </w:rPr>
        <w:t xml:space="preserve">Time — hours saved weekly, cycle or turnaround time cut, delivery accelerated, downtime reduced</w:t>
      </w:r>
    </w:p>
    <w:p>
      <w:pPr>
        <w:pStyle w:val="ListParagraph"/>
        <w:numPr>
          <w:ilvl w:val="0"/>
          <w:numId w:val="2"/>
        </w:numPr>
        <w:spacing w:after="60"/>
      </w:pPr>
      <w:r>
        <w:rPr>
          <w:rFonts w:ascii="Calibri" w:cs="Calibri" w:eastAsia="Calibri" w:hAnsi="Calibri"/>
          <w:sz w:val="20"/>
          <w:szCs w:val="20"/>
        </w:rPr>
        <w:t xml:space="preserve">Percentage — error rate down, accuracy up, cost reduced, adoption or throughput increased</w:t>
      </w:r>
    </w:p>
    <w:p>
      <w:pPr>
        <w:pStyle w:val="ListParagraph"/>
        <w:numPr>
          <w:ilvl w:val="0"/>
          <w:numId w:val="2"/>
        </w:numPr>
        <w:spacing w:after="60"/>
      </w:pPr>
      <w:r>
        <w:rPr>
          <w:rFonts w:ascii="Calibri" w:cs="Calibri" w:eastAsia="Calibri" w:hAnsi="Calibri"/>
          <w:sz w:val="20"/>
          <w:szCs w:val="20"/>
        </w:rPr>
        <w:t xml:space="preserve">People — team size led, people mentored or trained, stakeholders or teams coordinated with</w:t>
      </w:r>
    </w:p>
    <w:p>
      <w:pPr>
        <w:pStyle w:val="ListParagraph"/>
        <w:numPr>
          <w:ilvl w:val="0"/>
          <w:numId w:val="2"/>
        </w:numPr>
        <w:spacing w:after="60"/>
      </w:pPr>
      <w:r>
        <w:rPr>
          <w:rFonts w:ascii="Calibri" w:cs="Calibri" w:eastAsia="Calibri" w:hAnsi="Calibri"/>
          <w:sz w:val="20"/>
          <w:szCs w:val="20"/>
        </w:rPr>
        <w:t xml:space="preserve">Money — revenue influenced, cost avoided, spend managed, savings delivered</w:t>
      </w:r>
    </w:p>
    <w:p>
      <w:pPr>
        <w:spacing w:after="85"/>
      </w:pPr>
      <w:r>
        <w:rPr>
          <w:rFonts w:ascii="Calibri" w:cs="Calibri" w:eastAsia="Calibri" w:hAnsi="Calibri"/>
          <w:b w:val="false"/>
          <w:bCs w:val="false"/>
          <w:i w:val="false"/>
          <w:iCs w:val="false"/>
          <w:color w:val="000000"/>
          <w:sz w:val="19"/>
          <w:szCs w:val="19"/>
        </w:rPr>
        <w:t xml:space="preserve">No number available? Estimate a defensible range ("~200–250 weekly"), or quantify the input instead of the output, or describe the mechanism precisely. Never invent a figure you could not reconstruct under questioning — the first interview follow-up is always "what was the baseline, and how did you measure it?"</w:t>
      </w:r>
    </w:p>
    <w:p>
      <w:pPr>
        <w:pBdr>
          <w:bottom w:val="single" w:color="1F3864" w:sz="6" w:space="3"/>
        </w:pBdr>
        <w:spacing w:after="110" w:before="290"/>
      </w:pPr>
      <w:r>
        <w:rPr>
          <w:rFonts w:ascii="Calibri" w:cs="Calibri" w:eastAsia="Calibri" w:hAnsi="Calibri"/>
          <w:b/>
          <w:bCs/>
          <w:color w:val="1F3864"/>
          <w:spacing w:val="28"/>
          <w:sz w:val="22"/>
          <w:szCs w:val="22"/>
        </w:rPr>
        <w:t xml:space="preserve">BULLET-WRITING RULES</w:t>
      </w:r>
    </w:p>
    <w:p>
      <w:pPr>
        <w:pStyle w:val="ListParagraph"/>
        <w:numPr>
          <w:ilvl w:val="0"/>
          <w:numId w:val="2"/>
        </w:numPr>
        <w:spacing w:after="60"/>
      </w:pPr>
      <w:r>
        <w:rPr>
          <w:rFonts w:ascii="Calibri" w:cs="Calibri" w:eastAsia="Calibri" w:hAnsi="Calibri"/>
          <w:sz w:val="20"/>
          <w:szCs w:val="20"/>
        </w:rPr>
        <w:t xml:space="preserve">Start with a verb. Always. Never open with a noun phrase or with "I."</w:t>
      </w:r>
    </w:p>
    <w:p>
      <w:pPr>
        <w:pStyle w:val="ListParagraph"/>
        <w:numPr>
          <w:ilvl w:val="0"/>
          <w:numId w:val="2"/>
        </w:numPr>
        <w:spacing w:after="60"/>
      </w:pPr>
      <w:r>
        <w:rPr>
          <w:rFonts w:ascii="Calibri" w:cs="Calibri" w:eastAsia="Calibri" w:hAnsi="Calibri"/>
          <w:sz w:val="20"/>
          <w:szCs w:val="20"/>
        </w:rPr>
        <w:t xml:space="preserve">Exactly two lines. See the rule above — it is the single easiest thing to get wrong.</w:t>
      </w:r>
    </w:p>
    <w:p>
      <w:pPr>
        <w:pStyle w:val="ListParagraph"/>
        <w:numPr>
          <w:ilvl w:val="0"/>
          <w:numId w:val="2"/>
        </w:numPr>
        <w:spacing w:after="60"/>
      </w:pPr>
      <w:r>
        <w:rPr>
          <w:rFonts w:ascii="Calibri" w:cs="Calibri" w:eastAsia="Calibri" w:hAnsi="Calibri"/>
          <w:sz w:val="20"/>
          <w:szCs w:val="20"/>
        </w:rPr>
        <w:t xml:space="preserve">One accomplishment per bullet. Two "and"s means it is two bullets or it is padded.</w:t>
      </w:r>
    </w:p>
    <w:p>
      <w:pPr>
        <w:pStyle w:val="ListParagraph"/>
        <w:numPr>
          <w:ilvl w:val="0"/>
          <w:numId w:val="2"/>
        </w:numPr>
        <w:spacing w:after="60"/>
      </w:pPr>
      <w:r>
        <w:rPr>
          <w:rFonts w:ascii="Calibri" w:cs="Calibri" w:eastAsia="Calibri" w:hAnsi="Calibri"/>
          <w:sz w:val="20"/>
          <w:szCs w:val="20"/>
        </w:rPr>
        <w:t xml:space="preserve">Name the tool and the method. "Improved the process" is a claim; "rebuilt the intake process in ServiceNow" is evidence.</w:t>
      </w:r>
    </w:p>
    <w:p>
      <w:pPr>
        <w:pStyle w:val="ListParagraph"/>
        <w:numPr>
          <w:ilvl w:val="0"/>
          <w:numId w:val="2"/>
        </w:numPr>
        <w:spacing w:after="60"/>
      </w:pPr>
      <w:r>
        <w:rPr>
          <w:rFonts w:ascii="Calibri" w:cs="Calibri" w:eastAsia="Calibri" w:hAnsi="Calibri"/>
          <w:sz w:val="20"/>
          <w:szCs w:val="20"/>
        </w:rPr>
        <w:t xml:space="preserve">Front-load each role’s strongest bullet — readers give the first one full attention and skim after.</w:t>
      </w:r>
    </w:p>
    <w:p>
      <w:pPr>
        <w:pStyle w:val="ListParagraph"/>
        <w:numPr>
          <w:ilvl w:val="0"/>
          <w:numId w:val="2"/>
        </w:numPr>
        <w:spacing w:after="60"/>
      </w:pPr>
      <w:r>
        <w:rPr>
          <w:rFonts w:ascii="Calibri" w:cs="Calibri" w:eastAsia="Calibri" w:hAnsi="Calibri"/>
          <w:sz w:val="20"/>
          <w:szCs w:val="20"/>
        </w:rPr>
        <w:t xml:space="preserve">Past tense for past roles, present tense for the current one. Consistently.</w:t>
      </w:r>
    </w:p>
    <w:p>
      <w:pPr>
        <w:pStyle w:val="ListParagraph"/>
        <w:numPr>
          <w:ilvl w:val="0"/>
          <w:numId w:val="2"/>
        </w:numPr>
        <w:spacing w:after="60"/>
      </w:pPr>
      <w:r>
        <w:rPr>
          <w:rFonts w:ascii="Calibri" w:cs="Calibri" w:eastAsia="Calibri" w:hAnsi="Calibri"/>
          <w:sz w:val="20"/>
          <w:szCs w:val="20"/>
        </w:rPr>
        <w:t xml:space="preserve">Roughly 60% "built / designed / owned / led" and 40% "ran / handled / supported." A resume that is all maintenance bullets reads junior regardless of the title above it.</w:t>
      </w:r>
    </w:p>
    <w:p>
      <w:pPr>
        <w:pBdr>
          <w:bottom w:val="single" w:color="1F3864" w:sz="6" w:space="3"/>
        </w:pBdr>
        <w:spacing w:after="110" w:before="290"/>
      </w:pPr>
      <w:r>
        <w:rPr>
          <w:rFonts w:ascii="Calibri" w:cs="Calibri" w:eastAsia="Calibri" w:hAnsi="Calibri"/>
          <w:b/>
          <w:bCs/>
          <w:color w:val="1F3864"/>
          <w:spacing w:val="28"/>
          <w:sz w:val="22"/>
          <w:szCs w:val="22"/>
        </w:rPr>
        <w:t xml:space="preserve">C2C-SPECIFIC CAUTIONS</w:t>
      </w:r>
    </w:p>
    <w:p>
      <w:pPr>
        <w:pStyle w:val="ListParagraph"/>
        <w:numPr>
          <w:ilvl w:val="0"/>
          <w:numId w:val="2"/>
        </w:numPr>
        <w:spacing w:after="60"/>
      </w:pPr>
      <w:r>
        <w:rPr>
          <w:rFonts w:ascii="Calibri" w:cs="Calibri" w:eastAsia="Calibri" w:hAnsi="Calibri"/>
          <w:sz w:val="20"/>
          <w:szCs w:val="20"/>
        </w:rPr>
        <w:t xml:space="preserve">Vendors sometimes offer to "enhance" your resume — adding years, tools, or clients you never worked with. You are the one in the technical interview and on the timesheet. Ask to review any edited version before it goes out.</w:t>
      </w:r>
    </w:p>
    <w:p>
      <w:pPr>
        <w:pStyle w:val="ListParagraph"/>
        <w:numPr>
          <w:ilvl w:val="0"/>
          <w:numId w:val="2"/>
        </w:numPr>
        <w:spacing w:after="60"/>
      </w:pPr>
      <w:r>
        <w:rPr>
          <w:rFonts w:ascii="Calibri" w:cs="Calibri" w:eastAsia="Calibri" w:hAnsi="Calibri"/>
          <w:sz w:val="20"/>
          <w:szCs w:val="20"/>
        </w:rPr>
        <w:t xml:space="preserve">Keep one master copy. Multiple vendors submitting different versions of you to the same client is a common and disqualifying problem.</w:t>
      </w:r>
    </w:p>
    <w:p>
      <w:pPr>
        <w:pStyle w:val="ListParagraph"/>
        <w:numPr>
          <w:ilvl w:val="0"/>
          <w:numId w:val="2"/>
        </w:numPr>
        <w:spacing w:after="60"/>
      </w:pPr>
      <w:r>
        <w:rPr>
          <w:rFonts w:ascii="Calibri" w:cs="Calibri" w:eastAsia="Calibri" w:hAnsi="Calibri"/>
          <w:sz w:val="20"/>
          <w:szCs w:val="20"/>
        </w:rPr>
        <w:t xml:space="preserve">Track which vendor submitted you where. Duplicate submissions to one client get every copy dropped.</w:t>
      </w:r>
    </w:p>
    <w:p>
      <w:pPr>
        <w:pStyle w:val="ListParagraph"/>
        <w:numPr>
          <w:ilvl w:val="0"/>
          <w:numId w:val="2"/>
        </w:numPr>
        <w:spacing w:after="60"/>
      </w:pPr>
      <w:r>
        <w:rPr>
          <w:rFonts w:ascii="Calibri" w:cs="Calibri" w:eastAsia="Calibri" w:hAnsi="Calibri"/>
          <w:sz w:val="20"/>
          <w:szCs w:val="20"/>
        </w:rPr>
        <w:t xml:space="preserve">Environment lines are heavily keyword-searched — make them complete, but only with tools you actually used on that engagement.</w:t>
      </w:r>
    </w:p>
    <w:p>
      <w:pPr>
        <w:pBdr>
          <w:bottom w:val="single" w:color="1F3864" w:sz="6" w:space="3"/>
        </w:pBdr>
        <w:spacing w:after="110" w:before="290"/>
      </w:pPr>
      <w:r>
        <w:rPr>
          <w:rFonts w:ascii="Calibri" w:cs="Calibri" w:eastAsia="Calibri" w:hAnsi="Calibri"/>
          <w:b/>
          <w:bCs/>
          <w:color w:val="1F3864"/>
          <w:spacing w:val="28"/>
          <w:sz w:val="22"/>
          <w:szCs w:val="22"/>
        </w:rPr>
        <w:t xml:space="preserve">ATS FORMATTING — NON-NEGOTIABLE</w:t>
      </w:r>
    </w:p>
    <w:p>
      <w:pPr>
        <w:pStyle w:val="ListParagraph"/>
        <w:numPr>
          <w:ilvl w:val="0"/>
          <w:numId w:val="2"/>
        </w:numPr>
        <w:spacing w:after="60"/>
      </w:pPr>
      <w:r>
        <w:rPr>
          <w:rFonts w:ascii="Calibri" w:cs="Calibri" w:eastAsia="Calibri" w:hAnsi="Calibri"/>
          <w:sz w:val="20"/>
          <w:szCs w:val="20"/>
        </w:rPr>
        <w:t xml:space="preserve">Single column. Two-column layouts are the single biggest parser failure.</w:t>
      </w:r>
    </w:p>
    <w:p>
      <w:pPr>
        <w:pStyle w:val="ListParagraph"/>
        <w:numPr>
          <w:ilvl w:val="0"/>
          <w:numId w:val="2"/>
        </w:numPr>
        <w:spacing w:after="60"/>
      </w:pPr>
      <w:r>
        <w:rPr>
          <w:rFonts w:ascii="Calibri" w:cs="Calibri" w:eastAsia="Calibri" w:hAnsi="Calibri"/>
          <w:sz w:val="20"/>
          <w:szCs w:val="20"/>
        </w:rPr>
        <w:t xml:space="preserve">No tables, text boxes, images, or icons. Many parsers skip their contents entirely.</w:t>
      </w:r>
    </w:p>
    <w:p>
      <w:pPr>
        <w:pStyle w:val="ListParagraph"/>
        <w:numPr>
          <w:ilvl w:val="0"/>
          <w:numId w:val="2"/>
        </w:numPr>
        <w:spacing w:after="60"/>
      </w:pPr>
      <w:r>
        <w:rPr>
          <w:rFonts w:ascii="Calibri" w:cs="Calibri" w:eastAsia="Calibri" w:hAnsi="Calibri"/>
          <w:sz w:val="20"/>
          <w:szCs w:val="20"/>
        </w:rPr>
        <w:t xml:space="preserve">Contact details in the document body, never in the header or footer region.</w:t>
      </w:r>
    </w:p>
    <w:p>
      <w:pPr>
        <w:pStyle w:val="ListParagraph"/>
        <w:numPr>
          <w:ilvl w:val="0"/>
          <w:numId w:val="2"/>
        </w:numPr>
        <w:spacing w:after="60"/>
      </w:pPr>
      <w:r>
        <w:rPr>
          <w:rFonts w:ascii="Calibri" w:cs="Calibri" w:eastAsia="Calibri" w:hAnsi="Calibri"/>
          <w:sz w:val="20"/>
          <w:szCs w:val="20"/>
        </w:rPr>
        <w:t xml:space="preserve">Standard section headings: Professional Summary, Technical Skills, Professional Experience, Education.</w:t>
      </w:r>
    </w:p>
    <w:p>
      <w:pPr>
        <w:pStyle w:val="ListParagraph"/>
        <w:numPr>
          <w:ilvl w:val="0"/>
          <w:numId w:val="2"/>
        </w:numPr>
        <w:spacing w:after="60"/>
      </w:pPr>
      <w:r>
        <w:rPr>
          <w:rFonts w:ascii="Calibri" w:cs="Calibri" w:eastAsia="Calibri" w:hAnsi="Calibri"/>
          <w:sz w:val="20"/>
          <w:szCs w:val="20"/>
        </w:rPr>
        <w:t xml:space="preserve">One consistent date format throughout. Inconsistent dates create phantom employment gaps.</w:t>
      </w:r>
    </w:p>
    <w:p>
      <w:pPr>
        <w:pStyle w:val="ListParagraph"/>
        <w:numPr>
          <w:ilvl w:val="0"/>
          <w:numId w:val="2"/>
        </w:numPr>
        <w:spacing w:after="60"/>
      </w:pPr>
      <w:r>
        <w:rPr>
          <w:rFonts w:ascii="Calibri" w:cs="Calibri" w:eastAsia="Calibri" w:hAnsi="Calibri"/>
          <w:sz w:val="20"/>
          <w:szCs w:val="20"/>
        </w:rPr>
        <w:t xml:space="preserve">Submit .docx — vendors almost always require an editable Word file.</w:t>
      </w:r>
    </w:p>
    <w:p>
      <w:pPr>
        <w:pStyle w:val="ListParagraph"/>
        <w:numPr>
          <w:ilvl w:val="0"/>
          <w:numId w:val="2"/>
        </w:numPr>
        <w:spacing w:after="60"/>
      </w:pPr>
      <w:r>
        <w:rPr>
          <w:rFonts w:ascii="Calibri" w:cs="Calibri" w:eastAsia="Calibri" w:hAnsi="Calibri"/>
          <w:sz w:val="20"/>
          <w:szCs w:val="20"/>
        </w:rPr>
        <w:t xml:space="preserve">Never white-text keyword stuff. Recruiters see parsed output, not formatting — it is visible and it gets candidates flagged.</w:t>
      </w:r>
    </w:p>
    <w:p>
      <w:pPr>
        <w:pStyle w:val="ListParagraph"/>
        <w:numPr>
          <w:ilvl w:val="0"/>
          <w:numId w:val="2"/>
        </w:numPr>
        <w:spacing w:after="60"/>
      </w:pPr>
      <w:r>
        <w:rPr>
          <w:rFonts w:ascii="Calibri" w:cs="Calibri" w:eastAsia="Calibri" w:hAnsi="Calibri"/>
          <w:sz w:val="20"/>
          <w:szCs w:val="20"/>
        </w:rPr>
        <w:t xml:space="preserve">Three to four pages is normal for C2C. Do not compress to one page.</w:t>
      </w:r>
    </w:p>
    <w:sectPr>
      <w:pgSz w:w="12240" w:h="15840" w:orient="portrait"/>
      <w:pgMar w:top="800" w:right="940" w:bottom="80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abstractNum>
  <w:abstractNum w:abstractNumId="3" w15:restartNumberingAfterBreak="0">
    <w:multiLevelType w:val="hybridMultilevel"/>
    <w:lvl w:ilvl="0" w15:tentative="1">
      <w:start w:val="1"/>
      <w:numFmt w:val="decimal"/>
      <w:lvlText w:val="%1."/>
      <w:lvlJc w:val="left"/>
      <w:pPr>
        <w:ind w:left="475"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2026-09-09T01:10:27.768Z</dcterms:created>
  <dcterms:modified xsi:type="dcterms:W3CDTF">2026-09-09T01:10:27.768Z</dcterms:modified>
</cp:coreProperties>
</file>

<file path=docProps/custom.xml><?xml version="1.0" encoding="utf-8"?>
<Properties xmlns="http://schemas.openxmlformats.org/officeDocument/2006/custom-properties" xmlns:vt="http://schemas.openxmlformats.org/officeDocument/2006/docPropsVTypes"/>
</file>