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12th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- 31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€12588</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€12588</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(4357) en het vastgestelde gemiddelde uurloon-2020 (</w:t>
      </w:r>
      <w:r>
        <w:rPr>
          <w:rFonts w:eastAsia="Arial" w:cs="Arial" w:ascii="Arial" w:hAnsi="Arial"/>
          <w:b/>
          <w:bCs/>
          <w:color w:val="595959" w:themeColor="text1" w:themeTint="a6"/>
          <w:lang w:eastAsia="nl-NL"/>
        </w:rPr>
        <w:t>€12588</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