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{company_name} </w:t>
      </w:r>
    </w:p>
    <w:p>
      <w:pPr>
        <w:pStyle w:val="Normal"/>
        <w:jc w:val="both"/>
        <w:rPr/>
      </w:pPr>
      <w:r>
        <w:rPr>
          <w:rFonts w:eastAsia="Arial" w:cs="Arial" w:ascii="Arial" w:hAnsi="Arial"/>
          <w:b/>
          <w:bCs/>
          <w:color w:val="595959" w:themeColor="text1" w:themeTint="a6"/>
          <w:sz w:val="48"/>
          <w:szCs w:val="48"/>
          <w:u w:val="single"/>
          <w:lang w:val="en-US"/>
        </w:rPr>
        <w:t>{months_year}</w:t>
      </w:r>
    </w:p>
    <w:p>
      <w:pPr>
        <w:pStyle w:val="Normal"/>
        <w:jc w:val="both"/>
        <w:rPr/>
      </w:pPr>
      <w:r>
        <w:rPr>
          <w:rFonts w:eastAsia="Arial" w:cs="Arial" w:ascii="Arial" w:hAnsi="Arial"/>
          <w:b/>
          <w:bCs/>
          <w:color w:val="595959" w:themeColor="text1" w:themeTint="a6"/>
          <w:sz w:val="48"/>
          <w:szCs w:val="48"/>
          <w:u w:val="single"/>
        </w:rPr>
        <w:t>{so-number}</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{project_node}</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{total_amount} in de nog tijdvakken van de beschikking {months_year} kunt verrekenen waarbij de maximale S&amp;O afdrachtsvermindering van {amount_per_month}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