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11 November - 11, 2020</w:t>
      </w:r>
    </w:p>
    <w:p>
      <w:pPr>
        <w:pStyle w:val="Normal"/>
        <w:jc w:val="both"/>
        <w:rPr/>
      </w:pPr>
      <w:r>
        <w:rPr>
          <w:rFonts w:eastAsia="Arial" w:cs="Arial" w:ascii="Arial" w:hAnsi="Arial"/>
          <w:b/>
          <w:bCs/>
          <w:color w:val="595959" w:themeColor="text1" w:themeTint="a6"/>
          <w:sz w:val="48"/>
          <w:szCs w:val="48"/>
          <w:u w:val="single"/>
        </w:rPr>
        <w:t>SO20202020</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2020201 "Datasheet 1" met een WBSO uren totaal van 3400 uur.</w:t>
        <w:br/>
        <w:t>2) PROJECT 2020202 "Datasheet II" met een WBSO uren totaal van 3700 uur.</w:t>
        <w:br/>
        <w:t>3) PROJECT 2020203 "Datasheet III" met een WBSO uren totaal van 2500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76545 in de nog tijdvakken van de beschikking 11 November - 11, 2020 kunt verrekenen waarbij de maximale S&amp;O afdrachtsvermindering van €6378.75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