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 July - 31 December, 2020</w:t>
      </w:r>
    </w:p>
    <w:p>
      <w:pPr>
        <w:pStyle w:val="Normal"/>
        <w:jc w:val="both"/>
        <w:rPr/>
      </w:pPr>
      <w:r>
        <w:rPr>
          <w:rFonts w:eastAsia="Arial" w:cs="Arial" w:ascii="Arial" w:hAnsi="Arial"/>
          <w:b/>
          <w:bCs/>
          <w:color w:val="595959" w:themeColor="text1" w:themeTint="a6"/>
          <w:sz w:val="48"/>
          <w:szCs w:val="48"/>
          <w:u w:val="single"/>
        </w:rPr>
        <w:t>SO20022020</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200 "data 1" met een WBSO uren totaal van 345 uur.</w:t>
        <w:br/>
        <w:t>2) PROJECT 201 "data 2" met een WBSO uren totaal van 350 uur.</w:t>
        <w:br/>
        <w:t>3) PROJECT 203 "data 3" met een WBSO uren totaal van 350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33443 in de nog tijdvakken van de beschikking 1 July - 31 December, 2020 kunt verrekenen waarbij de maximale S&amp;O afdrachtsvermindering van €5573.83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