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DEVIN token &amp; ACU consumption — Angular 9 → 20 migration</w:t>
      </w:r>
    </w:p>
    <w:p>
      <w:r>
        <w:t xml:space="preserve">Companion script for </w:t>
      </w:r>
      <w:r>
        <w:rPr>
          <w:b/>
        </w:rPr>
        <w:t>`DEVIN-AIDLC-token-ACU-metrics.xlsx`</w:t>
      </w:r>
      <w:r>
        <w:t xml:space="preserve"> (same column layout as the Anthropic AIDLC workbook: </w:t>
      </w:r>
      <w:r>
        <w:rPr>
          <w:i/>
        </w:rPr>
        <w:t>AIDLC Phases | Task | Model | Token | Dollar Value | Input | Cache Write | Cache Read | Output</w:t>
      </w:r>
      <w:r>
        <w:t xml:space="preserve">, plus the two columns Devin actually bills and audits on: </w:t>
      </w:r>
      <w:r>
        <w:rPr>
          <w:i/>
        </w:rPr>
        <w:t>ACUs</w:t>
      </w:r>
      <w:r>
        <w:t xml:space="preserve"> and </w:t>
      </w:r>
      <w:r>
        <w:rPr>
          <w:i/>
        </w:rPr>
        <w:t>Basis</w:t>
      </w:r>
      <w:r>
        <w:t>).</w:t>
      </w:r>
    </w:p>
    <w:p>
      <w:r>
        <w:t xml:space="preserve">Everything below comes from this session: </w:t>
      </w:r>
      <w:r>
        <w:rPr>
          <w:rFonts w:ascii="Consolas" w:hAnsi="Consolas"/>
          <w:color w:val="B03060"/>
          <w:sz w:val="19"/>
        </w:rPr>
        <w:t>devin-b089339539c84cfb8fe4913619e49d66</w:t>
      </w:r>
      <w:r>
        <w:t xml:space="preserve">, repo </w:t>
      </w:r>
      <w:r>
        <w:rPr>
          <w:rFonts w:ascii="Consolas" w:hAnsi="Consolas"/>
          <w:color w:val="B03060"/>
          <w:sz w:val="19"/>
        </w:rPr>
        <w:t>infosys-training/angular2-hn</w:t>
      </w:r>
      <w:r>
        <w:t xml:space="preserve">, PR </w:t>
      </w:r>
      <w:r>
        <w:rPr>
          <w:color w:val="1F4E79"/>
          <w:u w:val="single"/>
        </w:rPr>
        <w:t>#35 (https://github.com/infosys-training/angular2-hn/pull/35)</w:t>
      </w:r>
      <w:r>
        <w:t>.</w:t>
      </w:r>
    </w:p>
    <w:p>
      <w:r>
        <w:br/>
      </w:r>
    </w:p>
    <w:p>
      <w:pPr>
        <w:pStyle w:val="Heading2"/>
      </w:pPr>
      <w:r>
        <w:t>1. The one structural difference to state up front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Claude workbook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Devin workbook</w:t>
            </w:r>
          </w:p>
        </w:tc>
      </w:tr>
      <w:tr>
        <w:tc>
          <w:tcPr>
            <w:tcW w:type="dxa" w:w="2880"/>
          </w:tcPr>
          <w:p>
            <w:r>
              <w:t>Billable unit</w:t>
            </w:r>
          </w:p>
        </w:tc>
        <w:tc>
          <w:tcPr>
            <w:tcW w:type="dxa" w:w="2880"/>
          </w:tcPr>
          <w:p>
            <w:r>
              <w:t>tokens (input / cache write / cache read / output)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ACU (Agent Compute Unit)</w:t>
            </w:r>
          </w:p>
        </w:tc>
      </w:tr>
      <w:tr>
        <w:tc>
          <w:tcPr>
            <w:tcW w:type="dxa" w:w="2880"/>
          </w:tcPr>
          <w:p>
            <w:r>
              <w:t>Dollar Value column</w:t>
            </w:r>
          </w:p>
        </w:tc>
        <w:tc>
          <w:tcPr>
            <w:tcW w:type="dxa" w:w="2880"/>
          </w:tcPr>
          <w:p>
            <w:r>
              <w:t>Σ tokens × per-million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ACUs × $2.25</w:t>
            </w:r>
          </w:p>
        </w:tc>
      </w:tr>
      <w:tr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priced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 but not priced</w:t>
            </w:r>
          </w:p>
        </w:tc>
      </w:tr>
      <w:tr>
        <w:tc>
          <w:tcPr>
            <w:tcW w:type="dxa" w:w="2880"/>
          </w:tcPr>
          <w:p>
            <w:r>
              <w:t>What the price covers</w:t>
            </w:r>
          </w:p>
        </w:tc>
        <w:tc>
          <w:tcPr>
            <w:tcW w:type="dxa" w:w="2880"/>
          </w:tcPr>
          <w:p>
            <w:r>
              <w:t>model inference</w:t>
            </w:r>
          </w:p>
        </w:tc>
        <w:tc>
          <w:tcPr>
            <w:tcW w:type="dxa" w:w="2880"/>
          </w:tcPr>
          <w:p>
            <w:r>
              <w:t xml:space="preserve">inference </w:t>
            </w:r>
            <w:r>
              <w:rPr>
                <w:b/>
              </w:rPr>
              <w:t>+</w:t>
            </w:r>
            <w:r>
              <w:t xml:space="preserve"> VM, browser, npm installs, builds, the agent loop</w:t>
            </w:r>
          </w:p>
        </w:tc>
      </w:tr>
    </w:tbl>
    <w:p/>
    <w:p>
      <w:r>
        <w:t xml:space="preserve">So the Devin sheet keeps every Claude column, but the money column is driven by ACUs. The token columns are real measurements from the session's </w:t>
      </w:r>
      <w:r>
        <w:rPr>
          <w:rFonts w:ascii="Consolas" w:hAnsi="Consolas"/>
          <w:color w:val="B03060"/>
          <w:sz w:val="19"/>
        </w:rPr>
        <w:t>context_growth_update</w:t>
      </w:r>
      <w:r>
        <w:t xml:space="preserve"> telemetry — they are there to show </w:t>
      </w:r>
      <w:r>
        <w:rPr>
          <w:i/>
        </w:rPr>
        <w:t>efficiency</w:t>
      </w:r>
      <w:r>
        <w:t xml:space="preserve"> (how much context was reused rather than re-sent), not to compute a bill.</w:t>
      </w:r>
    </w:p>
    <w:p>
      <w:r>
        <w:br/>
      </w:r>
    </w:p>
    <w:p>
      <w:pPr>
        <w:pStyle w:val="Heading2"/>
      </w:pPr>
      <w:r>
        <w:t>2. The headline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Dollar Value @ $2.25/ACU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Tokens processed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1728"/>
          </w:tcPr>
          <w:p>
            <w:r>
              <w:t>Migration delivery (Angular 9 → 20)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20.2524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$45.57</w:t>
            </w:r>
          </w:p>
        </w:tc>
        <w:tc>
          <w:tcPr>
            <w:tcW w:type="dxa" w:w="1728"/>
          </w:tcPr>
          <w:p>
            <w:r>
              <w:t>12.75 M</w:t>
            </w:r>
          </w:p>
        </w:tc>
        <w:tc>
          <w:tcPr>
            <w:tcW w:type="dxa" w:w="1728"/>
          </w:tcPr>
          <w:p>
            <w:r>
              <w:t>ACUs measured</w:t>
            </w:r>
          </w:p>
        </w:tc>
      </w:tr>
      <w:tr>
        <w:tc>
          <w:tcPr>
            <w:tcW w:type="dxa" w:w="1728"/>
          </w:tcPr>
          <w:p>
            <w:r>
              <w:t>Post-delivery reporting / Q&amp;A (7 requests)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13.8651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$31.20</w:t>
            </w:r>
          </w:p>
        </w:tc>
        <w:tc>
          <w:tcPr>
            <w:tcW w:type="dxa" w:w="1728"/>
          </w:tcPr>
          <w:p>
            <w:r>
              <w:t>15.15 M</w:t>
            </w:r>
          </w:p>
        </w:tc>
        <w:tc>
          <w:tcPr>
            <w:tcW w:type="dxa" w:w="1728"/>
          </w:tcPr>
          <w:p>
            <w:r>
              <w:t>ACUs measured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Session total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34.1175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$76.76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27.90 M</w:t>
            </w:r>
          </w:p>
        </w:tc>
        <w:tc>
          <w:tcPr>
            <w:tcW w:type="dxa" w:w="1728"/>
          </w:tcPr>
          <w:p>
            <w:r>
              <w:t>ACUs measured</w:t>
            </w:r>
          </w:p>
        </w:tc>
      </w:tr>
    </w:tbl>
    <w:p/>
    <w:p>
      <w:r>
        <w:t>Delivery wall-clock: 35 min 26 s (17:06:16Z → 17:52:44Z on 2026-08-28).</w:t>
      </w:r>
    </w:p>
    <w:p>
      <w:r>
        <w:br/>
      </w:r>
    </w:p>
    <w:p>
      <w:pPr>
        <w:pStyle w:val="Heading2"/>
      </w:pPr>
      <w:r>
        <w:t>3. How each column is produced (this is the justification)</w:t>
      </w:r>
    </w:p>
    <w:p>
      <w:r>
        <w:rPr>
          <w:b/>
        </w:rPr>
        <w:t>ACUs.</w:t>
      </w:r>
      <w:r>
        <w:t xml:space="preserve"> Read directly from the Devin session API: </w:t>
      </w:r>
      <w:r>
        <w:rPr>
          <w:rFonts w:ascii="Consolas" w:hAnsi="Consolas"/>
          <w:color w:val="B03060"/>
          <w:sz w:val="19"/>
        </w:rPr>
        <w:t>acus_consumed</w:t>
      </w:r>
      <w:r>
        <w:t xml:space="preserve"> and the </w:t>
      </w:r>
      <w:r>
        <w:rPr>
          <w:rFonts w:ascii="Consolas" w:hAnsi="Consolas"/>
          <w:color w:val="B03060"/>
          <w:sz w:val="19"/>
        </w:rPr>
        <w:t>acu_consumption_at_last_user_interaction</w:t>
      </w:r>
      <w:r>
        <w:t xml:space="preserve"> checkpoints. Session start = 0.0000, end of migration work = 20.2524, end of session so far = 34.1175. Nothing modelled.</w:t>
      </w:r>
    </w:p>
    <w:p>
      <w:r>
        <w:rPr>
          <w:b/>
        </w:rPr>
        <w:t>Dollar Value.</w:t>
      </w:r>
      <w:r>
        <w:t xml:space="preserve"> </w:t>
      </w:r>
      <w:r>
        <w:rPr>
          <w:rFonts w:ascii="Consolas" w:hAnsi="Consolas"/>
          <w:color w:val="B03060"/>
          <w:sz w:val="19"/>
        </w:rPr>
        <w:t>ACUs × $2.25</w:t>
      </w:r>
      <w:r>
        <w:t xml:space="preserve">, written as a live formula in every row, so changing the rate cell recomputes the sheet. $2.25 is Devin's list price — the enterprise rate is set on your order form. If your contracted rate differs, regenerate: </w:t>
      </w:r>
      <w:r>
        <w:rPr>
          <w:rFonts w:ascii="Consolas" w:hAnsi="Consolas"/>
          <w:color w:val="B03060"/>
          <w:sz w:val="19"/>
        </w:rPr>
        <w:t>python3 scripts/devin-token-acu-xlsx.py --rate &lt;your rate&gt;</w:t>
      </w:r>
      <w:r>
        <w:t>.</w:t>
      </w:r>
    </w:p>
    <w:p>
      <w:r>
        <w:rPr>
          <w:b/>
        </w:rPr>
        <w:t>Cache Read.</w:t>
      </w:r>
      <w:r>
        <w:t xml:space="preserve"> Devin does not expose Claude's </w:t>
      </w:r>
      <w:r>
        <w:rPr>
          <w:rFonts w:ascii="Consolas" w:hAnsi="Consolas"/>
          <w:color w:val="B03060"/>
          <w:sz w:val="19"/>
        </w:rPr>
        <w:t>cache_read_input_tokens</w:t>
      </w:r>
      <w:r>
        <w:t xml:space="preserve">. What it does expose, per agent iteration, is </w:t>
      </w:r>
      <w:r>
        <w:rPr>
          <w:rFonts w:ascii="Consolas" w:hAnsi="Consolas"/>
          <w:color w:val="B03060"/>
          <w:sz w:val="19"/>
        </w:rPr>
        <w:t>current_context_tokens</w:t>
      </w:r>
      <w:r>
        <w:t xml:space="preserve">. The context already resident when iteration </w:t>
      </w:r>
      <w:r>
        <w:rPr>
          <w:i/>
        </w:rPr>
        <w:t>N</w:t>
      </w:r>
      <w:r>
        <w:t xml:space="preserve"> starts is exactly the prefix a prompt cache serves as a cache read. That is the proxy used, and it is measured, not assumed.</w:t>
      </w:r>
    </w:p>
    <w:p>
      <w:r>
        <w:rPr>
          <w:b/>
        </w:rPr>
        <w:t>Cache Write.</w:t>
      </w:r>
      <w:r>
        <w:t xml:space="preserve"> The positive delta of </w:t>
      </w:r>
      <w:r>
        <w:rPr>
          <w:rFonts w:ascii="Consolas" w:hAnsi="Consolas"/>
          <w:color w:val="B03060"/>
          <w:sz w:val="19"/>
        </w:rPr>
        <w:t>current_context_tokens</w:t>
      </w:r>
      <w:r>
        <w:t xml:space="preserve"> between iterations = tokens newly written into the cached prefix. Negative deltas (context compaction) are excluded rather than counted as writes.</w:t>
      </w:r>
    </w:p>
    <w:p>
      <w:r>
        <w:rPr>
          <w:b/>
        </w:rPr>
        <w:t>Input.</w:t>
      </w:r>
      <w:r>
        <w:t xml:space="preserve"> The share of those new tokens attributable to tool results: delta in </w:t>
      </w:r>
      <w:r>
        <w:rPr>
          <w:rFonts w:ascii="Consolas" w:hAnsi="Consolas"/>
          <w:color w:val="B03060"/>
          <w:sz w:val="19"/>
        </w:rPr>
        <w:t>total_tool_output_bytes</w:t>
      </w:r>
      <w:r>
        <w:t xml:space="preserve"> divided by that iteration's measured bytes-per-token.</w:t>
      </w:r>
    </w:p>
    <w:p>
      <w:r>
        <w:rPr>
          <w:b/>
        </w:rPr>
        <w:t>Output.</w:t>
      </w:r>
      <w:r>
        <w:t xml:space="preserve"> New tokens minus tool-result tokens — i.e. model-generated text and tool invocations.</w:t>
      </w:r>
    </w:p>
    <w:p>
      <w:r>
        <w:rPr>
          <w:b/>
        </w:rPr>
        <w:t>Token.</w:t>
      </w:r>
      <w:r>
        <w:t xml:space="preserve"> </w:t>
      </w:r>
      <w:r>
        <w:rPr>
          <w:rFonts w:ascii="Consolas" w:hAnsi="Consolas"/>
          <w:color w:val="B03060"/>
          <w:sz w:val="19"/>
        </w:rPr>
        <w:t>Cache Read + Cache Write</w:t>
      </w:r>
      <w:r>
        <w:t>, a formula in the sheet.</w:t>
      </w:r>
    </w:p>
    <w:p>
      <w:r>
        <w:rPr>
          <w:b/>
        </w:rPr>
        <w:t>Model.</w:t>
      </w:r>
      <w:r>
        <w:t xml:space="preserve"> </w:t>
      </w:r>
      <w:r>
        <w:rPr>
          <w:rFonts w:ascii="Consolas" w:hAnsi="Consolas"/>
          <w:color w:val="B03060"/>
          <w:sz w:val="19"/>
        </w:rPr>
        <w:t>Devin agent (mode not exposed)</w:t>
      </w:r>
      <w:r>
        <w:t xml:space="preserve"> — see §6. This cell is deliberately not filled with a model name.</w:t>
      </w:r>
    </w:p>
    <w:p>
      <w:r>
        <w:rPr>
          <w:b/>
        </w:rPr>
        <w:t>Per-row token values.</w:t>
      </w:r>
      <w:r>
        <w:t xml:space="preserve"> Each row's tokens = </w:t>
      </w:r>
      <w:r>
        <w:rPr>
          <w:i/>
        </w:rPr>
        <w:t>that row's ACUs</w:t>
      </w:r>
      <w:r>
        <w:t xml:space="preserve"> × </w:t>
      </w:r>
      <w:r>
        <w:rPr>
          <w:i/>
        </w:rPr>
        <w:t>the measured token rate for its region</w:t>
      </w:r>
      <w:r>
        <w:t>. The rates are themselves measured, from the two fully sampled telemetry windows: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Telemetry window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Iterations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ACUs in window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Cache read / ACU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Cache write / ACU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Input / ACU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Output / ACU</w:t>
            </w:r>
          </w:p>
        </w:tc>
      </w:tr>
      <w:tr>
        <w:tc>
          <w:tcPr>
            <w:tcW w:type="dxa" w:w="1080"/>
          </w:tcPr>
          <w:p>
            <w:r>
              <w:t>Construction</w:t>
            </w:r>
          </w:p>
        </w:tc>
        <w:tc>
          <w:tcPr>
            <w:tcW w:type="dxa" w:w="1080"/>
          </w:tcPr>
          <w:p>
            <w:r>
              <w:t>17:06:25Z → 17:18:47Z (iter 1–57, 40 samples)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7.0588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620,093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9,650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4,544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5,107</w:t>
            </w:r>
          </w:p>
        </w:tc>
      </w:tr>
      <w:tr>
        <w:tc>
          <w:tcPr>
            <w:tcW w:type="dxa" w:w="1080"/>
          </w:tcPr>
          <w:p>
            <w:r>
              <w:t>Reporting</w:t>
            </w:r>
          </w:p>
        </w:tc>
        <w:tc>
          <w:tcPr>
            <w:tcW w:type="dxa" w:w="1080"/>
          </w:tcPr>
          <w:p>
            <w:r>
              <w:t>09-01 10:57:22Z → 11:04:31Z (iter 200–225, 7 samples)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2.7049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1,062,315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29,888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15,784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t>14,103</w:t>
            </w:r>
          </w:p>
        </w:tc>
      </w:tr>
    </w:tbl>
    <w:p/>
    <w:p>
      <w:r>
        <w:br/>
      </w:r>
    </w:p>
    <w:p>
      <w:pPr>
        <w:pStyle w:val="Heading2"/>
      </w:pPr>
      <w:r>
        <w:t>4. What the cache numbers prove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Prompt tokens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Cache read (reused)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Cache write (new)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Hit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tokens / iteration</w:t>
            </w:r>
          </w:p>
        </w:tc>
      </w:tr>
      <w:tr>
        <w:tc>
          <w:tcPr>
            <w:tcW w:type="dxa" w:w="1440"/>
          </w:tcPr>
          <w:p>
            <w:r>
              <w:t>Construction, iter 1–57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4,445,242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4,377,122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68,120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98.47 %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1,216</w:t>
            </w:r>
          </w:p>
        </w:tc>
      </w:tr>
      <w:tr>
        <w:tc>
          <w:tcPr>
            <w:tcW w:type="dxa" w:w="1440"/>
          </w:tcPr>
          <w:p>
            <w:r>
              <w:t>Reporting, iter 200–225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2,954,304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2,873,461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80,843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97.26 %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3,234</w:t>
            </w:r>
          </w:p>
        </w:tc>
      </w:tr>
    </w:tbl>
    <w:p/>
    <w:p>
      <w:r>
        <w:t>Three facts leadership can act on:</w:t>
      </w:r>
    </w:p>
    <w:p>
      <w:pPr>
        <w:pStyle w:val="ListNumber"/>
      </w:pPr>
      <w:r>
        <w:rPr>
          <w:b/>
        </w:rPr>
        <w:t>98.47 % reuse during construction.</w:t>
      </w:r>
      <w:r>
        <w:t xml:space="preserve"> The AIDLC instruction to keep a byte-identical prompt prefix (package.json + angular.json + tsconfigs + file tree + conventions) worked — only 1.5 % of tokens processed were new. There is no further saving available on the token side; it is already saturated.</w:t>
      </w:r>
    </w:p>
    <w:p>
      <w:pPr>
        <w:pStyle w:val="ListNumber"/>
      </w:pPr>
      <w:r>
        <w:rPr>
          <w:b/>
        </w:rPr>
        <w:t>Explaining costs more per iteration than building.</w:t>
      </w:r>
      <w:r>
        <w:t xml:space="preserve"> Reporting turns wrote 3,234 new tokens per iteration versus 1,216 during construction — 2.7× denser.</w:t>
      </w:r>
    </w:p>
    <w:p>
      <w:pPr>
        <w:pStyle w:val="ListNumber"/>
      </w:pPr>
      <w:r>
        <w:rPr>
          <w:b/>
        </w:rPr>
        <w:t>Two context compactions</w:t>
      </w:r>
      <w:r>
        <w:t xml:space="preserve"> (iterations 197→200 and 221→225, peak 148,037 tokens) discarded context and forced the prefix to be rebuilt. Long sessions pay for this; short, scoped sessions do not.</w:t>
      </w:r>
    </w:p>
    <w:p>
      <w:r>
        <w:br/>
      </w:r>
    </w:p>
    <w:p>
      <w:pPr>
        <w:pStyle w:val="Heading2"/>
      </w:pPr>
      <w:r>
        <w:t>5. Where the money went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AIDLC 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Dollar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2160"/>
          </w:tcPr>
          <w:p>
            <w:r>
              <w:t>Inception (BRD, units of work)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1.7528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$3.94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5 %</w:t>
            </w:r>
          </w:p>
        </w:tc>
      </w:tr>
      <w:tr>
        <w:tc>
          <w:tcPr>
            <w:tcW w:type="dxa" w:w="2160"/>
          </w:tcPr>
          <w:p>
            <w:r>
              <w:t>Construction (11 majors + RxJS 7, eslint, standalone, control flow, builder, Playwright, ops)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10.7549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$24.20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32 %</w:t>
            </w:r>
          </w:p>
        </w:tc>
      </w:tr>
      <w:tr>
        <w:tc>
          <w:tcPr>
            <w:tcW w:type="dxa" w:w="2160"/>
          </w:tcPr>
          <w:p>
            <w:r>
              <w:t>Operation (PR #35)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0.5525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$1.24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2 %</w:t>
            </w:r>
          </w:p>
        </w:tc>
      </w:tr>
      <w:tr>
        <w:tc>
          <w:tcPr>
            <w:tcW w:type="dxa" w:w="2160"/>
          </w:tcPr>
          <w:p>
            <w:r>
              <w:t>Validation (prod build, service worker, test plan, testing handoff)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5.6204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$12.65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16 %</w:t>
            </w:r>
          </w:p>
        </w:tc>
      </w:tr>
      <w:tr>
        <w:tc>
          <w:tcPr>
            <w:tcW w:type="dxa" w:w="2160"/>
          </w:tcPr>
          <w:p>
            <w:r>
              <w:t>Governance / AIDLC tooling (prompt prefix + cost scripts)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1.5718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$3.54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5 %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Reporting / Q&amp;A after delivery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13.8651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$31.20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41 %</w:t>
            </w:r>
          </w:p>
        </w:tc>
      </w:tr>
    </w:tbl>
    <w:p/>
    <w:p>
      <w:r>
        <w:t xml:space="preserve">The uncomfortable headline is the last row: </w:t>
      </w:r>
      <w:r>
        <w:rPr>
          <w:b/>
        </w:rPr>
        <w:t>41 % of the session was spent explaining the migration, not performing it</w:t>
      </w:r>
      <w:r>
        <w:t>, spread over seven separate follow-up requests. A single up-front request specifying the report format would have collapsed most of that.</w:t>
      </w:r>
    </w:p>
    <w:p>
      <w:r>
        <w:t>Within the migration itself, verification (5.6204 ACUs / $12.65) cost more than any upgrade, and the eleven version bumps cost roughly $1–2.50 each.</w:t>
      </w:r>
    </w:p>
    <w:p>
      <w:r>
        <w:br/>
      </w:r>
    </w:p>
    <w:p>
      <w:pPr>
        <w:pStyle w:val="Heading2"/>
      </w:pPr>
      <w:r>
        <w:t>6. What the report deliberately does not claim</w:t>
      </w:r>
    </w:p>
    <w:p>
      <w:pPr>
        <w:pStyle w:val="ListBullet"/>
      </w:pPr>
      <w:r>
        <w:rPr>
          <w:b/>
        </w:rPr>
        <w:t>Model / agent mode.</w:t>
      </w:r>
      <w:r>
        <w:t xml:space="preserve"> The session API returns no model identity or agent mode for a completed session, and Devin publishes no per-mode ACU multiplier. An Ultra-vs-Normal comparison would therefore be invented. To get it factually: re-run one identical unit of work (e.g. Angular 15→16) from the same baseline in separate sessions, one per mode, and read </w:t>
      </w:r>
      <w:r>
        <w:rPr>
          <w:rFonts w:ascii="Consolas" w:hAnsi="Consolas"/>
          <w:color w:val="B03060"/>
          <w:sz w:val="19"/>
        </w:rPr>
        <w:t>acus_consumed</w:t>
      </w:r>
      <w:r>
        <w:t xml:space="preserve"> from each. Cost of that experiment: ~3–6 ACUs.</w:t>
      </w:r>
    </w:p>
    <w:p>
      <w:pPr>
        <w:pStyle w:val="ListBullet"/>
      </w:pPr>
      <w:r>
        <w:rPr>
          <w:b/>
        </w:rPr>
        <w:t>Per-task ACUs are derived</w:t>
      </w:r>
      <w:r>
        <w:t>, not measured: the measured migration total is split pro rata by each task's wall-clock duration using commit timestamps as boundaries, because Devin has no per-task ACU counter. The subtotals and the session total are exact; individual task rows are attribution.</w:t>
      </w:r>
    </w:p>
    <w:p>
      <w:pPr>
        <w:pStyle w:val="ListBullet"/>
      </w:pPr>
      <w:r>
        <w:rPr>
          <w:b/>
        </w:rPr>
        <w:t>Token counts are proxies</w:t>
      </w:r>
      <w:r>
        <w:t xml:space="preserve"> derived from context telemetry, not billing fields.</w:t>
      </w:r>
    </w:p>
    <w:p>
      <w:pPr>
        <w:pStyle w:val="ListBullet"/>
      </w:pPr>
      <w:r>
        <w:rPr>
          <w:b/>
        </w:rPr>
        <w:t>Browser end-to-end testing was not completed</w:t>
      </w:r>
      <w:r>
        <w:t xml:space="preserve"> — the testing-agent run was suspended with </w:t>
      </w:r>
      <w:r>
        <w:rPr>
          <w:rFonts w:ascii="Consolas" w:hAnsi="Consolas"/>
          <w:color w:val="B03060"/>
          <w:sz w:val="19"/>
        </w:rPr>
        <w:t>usage_limit_exceeded</w:t>
      </w:r>
      <w:r>
        <w:t>. Lint, 6/6 unit specs, dev and prod builds and 3/3 Playwright e2e all passed locally; there is no recording.</w:t>
      </w:r>
    </w:p>
    <w:p>
      <w:r>
        <w:br/>
      </w:r>
    </w:p>
    <w:p>
      <w:pPr>
        <w:pStyle w:val="Heading2"/>
      </w:pPr>
      <w:r>
        <w:t>7. The "if tokens were billed" comparison — how to use it safely</w:t>
      </w:r>
    </w:p>
    <w:p>
      <w:r>
        <w:t xml:space="preserve">Priced at the rate card in your own Anthropic workbook, Devin's measured token volume would come to </w:t>
      </w:r>
      <w:r>
        <w:rPr>
          <w:b/>
        </w:rPr>
        <w:t>$26.48 at Opus rates</w:t>
      </w:r>
      <w:r>
        <w:t xml:space="preserve"> or </w:t>
      </w:r>
      <w:r>
        <w:rPr>
          <w:b/>
        </w:rPr>
        <w:t>$15.13 at Sonnet 4.6 rates</w:t>
      </w:r>
      <w:r>
        <w:t xml:space="preserve">, against the actual </w:t>
      </w:r>
      <w:r>
        <w:rPr>
          <w:b/>
        </w:rPr>
        <w:t>$76.76</w:t>
      </w:r>
      <w:r>
        <w:t xml:space="preserve"> ACU bill.</w:t>
      </w:r>
    </w:p>
    <w:p>
      <w:r>
        <w:t xml:space="preserve">Say this out loud when you show that sheet: the two are </w:t>
      </w:r>
      <w:r>
        <w:rPr>
          <w:b/>
        </w:rPr>
        <w:t>not</w:t>
      </w:r>
      <w:r>
        <w:t xml:space="preserve"> like-for-like. The token figure prices model inference only. The ACU figure prices inference </w:t>
      </w:r>
      <w:r>
        <w:rPr>
          <w:i/>
        </w:rPr>
        <w:t>plus</w:t>
      </w:r>
      <w:r>
        <w:t xml:space="preserve"> the VM, the browser, eleven </w:t>
      </w:r>
      <w:r>
        <w:rPr>
          <w:rFonts w:ascii="Consolas" w:hAnsi="Consolas"/>
          <w:color w:val="B03060"/>
          <w:sz w:val="19"/>
        </w:rPr>
        <w:t>npm install</w:t>
      </w:r>
      <w:r>
        <w:t xml:space="preserve"> cycles, every build and test run, and the agent loop that decided what to do next — work that, in the Claude column, a human engineer is doing unpaid-for-in-this-sheet alongside the model. The honest framing is: </w:t>
      </w:r>
      <w:r>
        <w:rPr>
          <w:i/>
        </w:rPr>
        <w:t>for $45.57 of delivery cost we obtained an eleven-major-version Angular upgrade with a green build, tests, e2e and an open PR, in 35 minutes of wall-clock.</w:t>
      </w:r>
    </w:p>
    <w:p>
      <w:r>
        <w:br/>
      </w:r>
    </w:p>
    <w:p>
      <w:pPr>
        <w:pStyle w:val="Heading2"/>
      </w:pPr>
      <w:r>
        <w:t>8. The optimal approach for the next migration</w:t>
      </w:r>
    </w:p>
    <w:p>
      <w:r>
        <w:t>Ranked by measured evidence, not opinion:</w:t>
      </w:r>
    </w:p>
    <w:p>
      <w:pPr>
        <w:pStyle w:val="ListNumber"/>
      </w:pPr>
      <w:r>
        <w:rPr>
          <w:b/>
        </w:rPr>
        <w:t>Ask for the report format once, up front.</w:t>
      </w:r>
      <w:r>
        <w:t xml:space="preserve"> Measured avoidable spend: the 13.8651 ACUs / $31.20 of post-delivery Q&amp;A, most of which was re-formatting the same numbers.</w:t>
      </w:r>
    </w:p>
    <w:p>
      <w:pPr>
        <w:pStyle w:val="ListNumber"/>
      </w:pPr>
      <w:r>
        <w:rPr>
          <w:b/>
        </w:rPr>
        <w:t>Script verification instead of stepping through it.</w:t>
      </w:r>
      <w:r>
        <w:t xml:space="preserve"> Validation was 5.6204 ACUs; a single </w:t>
      </w:r>
      <w:r>
        <w:rPr>
          <w:rFonts w:ascii="Consolas" w:hAnsi="Consolas"/>
          <w:color w:val="B03060"/>
          <w:sz w:val="19"/>
        </w:rPr>
        <w:t>build &amp;&amp; serve &amp;&amp; curl &amp;&amp; playwright</w:t>
      </w:r>
      <w:r>
        <w:t xml:space="preserve"> chain, or CI doing it, removes most of that.</w:t>
      </w:r>
    </w:p>
    <w:p>
      <w:pPr>
        <w:pStyle w:val="ListNumber"/>
      </w:pPr>
      <w:r>
        <w:rPr>
          <w:b/>
        </w:rPr>
        <w:t>Pre-provision the environment in the blueprint</w:t>
      </w:r>
      <w:r>
        <w:t xml:space="preserve"> — Node 22, npm (not yarn), a warm npm cache, </w:t>
      </w:r>
      <w:r>
        <w:rPr>
          <w:rFonts w:ascii="Consolas" w:hAnsi="Consolas"/>
          <w:color w:val="B03060"/>
          <w:sz w:val="19"/>
        </w:rPr>
        <w:t>legacy-peer-deps</w:t>
      </w:r>
      <w:r>
        <w:t>, headless-Chrome flags. Roughly a full ACU in row B1 went to discovering these.</w:t>
      </w:r>
    </w:p>
    <w:p>
      <w:pPr>
        <w:pStyle w:val="ListNumber"/>
      </w:pPr>
      <w:r>
        <w:rPr>
          <w:b/>
        </w:rPr>
        <w:t>Checkpoint verification</w:t>
      </w:r>
      <w:r>
        <w:t xml:space="preserve"> (after 12, 15, 18, 20) rather than after every single version bump, accepting that a failure then spans three versions.</w:t>
      </w:r>
    </w:p>
    <w:p>
      <w:pPr>
        <w:pStyle w:val="ListNumber"/>
      </w:pPr>
      <w:r>
        <w:rPr>
          <w:b/>
        </w:rPr>
        <w:t>Keep the byte-stable prompt prefix.</w:t>
      </w:r>
      <w:r>
        <w:t xml:space="preserve"> It is the reason for the 98.47 % cache hit rate; do not change it.</w:t>
      </w:r>
    </w:p>
    <w:p>
      <w:pPr>
        <w:pStyle w:val="ListNumber"/>
      </w:pPr>
      <w:r>
        <w:rPr>
          <w:b/>
        </w:rPr>
        <w:t>Keep sessions short and scoped</w:t>
      </w:r>
      <w:r>
        <w:t xml:space="preserve"> to avoid the context compactions seen at iterations 197 and 221.</w:t>
      </w:r>
    </w:p>
    <w:p>
      <w:pPr>
        <w:pStyle w:val="ListNumber"/>
      </w:pPr>
      <w:r>
        <w:rPr>
          <w:b/>
        </w:rPr>
        <w:t>Reuse the assets already produced</w:t>
      </w:r>
      <w:r>
        <w:t>: the BRD, the units-of-work plan, the Angular knowledge note, the prompt-prefix generator and these cost scripts. Inception (1.7528 ACUs) is a one-time cost.</w:t>
      </w:r>
    </w:p>
    <w:p>
      <w:pPr>
        <w:pStyle w:val="ListNumber"/>
      </w:pPr>
      <w:r>
        <w:rPr>
          <w:b/>
        </w:rPr>
        <w:t>Only then consider a lighter agent mode</w:t>
      </w:r>
      <w:r>
        <w:t xml:space="preserve"> for the mechanical bumps — and validate it with the A/B in §6 before quoting a saving.</w:t>
      </w:r>
    </w:p>
    <w:p>
      <w:r>
        <w:t xml:space="preserve">A realistic optimised re-run of the same scope lands around </w:t>
      </w:r>
      <w:r>
        <w:rPr>
          <w:b/>
        </w:rPr>
        <w:t>13 ACUs (~$30)</w:t>
      </w:r>
      <w:r>
        <w:t xml:space="preserve"> versus the measured 20.25 (~$45.57). That is an estimate, clearly labelled as such — the 20.2524 is the only measured figure.</w:t>
      </w:r>
    </w:p>
    <w:p>
      <w:r>
        <w:br/>
      </w:r>
    </w:p>
    <w:p>
      <w:pPr>
        <w:pStyle w:val="Heading2"/>
      </w:pPr>
      <w:r>
        <w:t>9.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docs/migration/DEVIN-AIDLC-token-ACU-metrics.xlsx</w:t>
            </w:r>
          </w:p>
        </w:tc>
        <w:tc>
          <w:tcPr>
            <w:tcW w:type="dxa" w:w="4320"/>
          </w:tcPr>
          <w:p>
            <w:r>
              <w:t>Claude-layout workbook (6 sheets)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docs/migration/token-telemetry.json</w:t>
            </w:r>
          </w:p>
        </w:tc>
        <w:tc>
          <w:tcPr>
            <w:tcW w:type="dxa" w:w="4320"/>
          </w:tcPr>
          <w:p>
            <w:r>
              <w:t>50 measured context-telemetry samples + region constants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docs/migration/acu-usage.json</w:t>
            </w:r>
          </w:p>
        </w:tc>
        <w:tc>
          <w:tcPr>
            <w:tcW w:type="dxa" w:w="4320"/>
          </w:tcPr>
          <w:p>
            <w:r>
              <w:t>measured ACUs + per-task wall clock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docs/migration/acu-consumption-report.json</w:t>
            </w:r>
          </w:p>
        </w:tc>
        <w:tc>
          <w:tcPr>
            <w:tcW w:type="dxa" w:w="4320"/>
          </w:tcPr>
          <w:p>
            <w:r>
              <w:t>measured per-interaction ACU deltas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scripts/devin-token-acu-xlsx.py</w:t>
            </w:r>
          </w:p>
        </w:tc>
        <w:tc>
          <w:tcPr>
            <w:tcW w:type="dxa" w:w="4320"/>
          </w:tcPr>
          <w:p>
            <w:r>
              <w:t>regenerates the workbook (</w:t>
            </w:r>
            <w:r>
              <w:rPr>
                <w:rFonts w:ascii="Consolas" w:hAnsi="Consolas"/>
                <w:color w:val="B03060"/>
                <w:sz w:val="19"/>
              </w:rPr>
              <w:t>--rate</w:t>
            </w:r>
            <w:r>
              <w:t xml:space="preserve"> to change the ACU price)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