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THE COURIER GUY API — DEVELOPER REFERENCE</w:t>
      </w:r>
    </w:p>
    <w:p>
      <w:pPr>
        <w:pStyle w:val="Subtitle"/>
      </w:pPr>
      <w:r>
        <w:t>Version 4.4 | Simplified courier, locker, kiosk, and pickup-point implementation guide</w:t>
      </w:r>
    </w:p>
    <w:p>
      <w:pPr>
        <w:pStyle w:val="Heading1"/>
      </w:pPr>
      <w:r>
        <w:t xml:space="preserve">Purpose</w:t>
      </w:r>
    </w:p>
    <w:p>
      <w:pPr>
        <w:pStyle w:val="Normal"/>
      </w:pPr>
      <w:r>
        <w:t>This Version 4.4 guide consolidates the practical Courier Guy API guidance. Locker API request examples are provided in the companion Locker API Examples guide.</w:t>
      </w:r>
    </w:p>
    <w:p>
      <w:pPr>
        <w:pStyle w:val="Heading1"/>
      </w:pPr>
      <w:r>
        <w:t xml:space="preserve">Systems and support</w:t>
      </w:r>
    </w:p>
    <w:p>
      <w:pPr>
        <w:pStyle w:val="Heading2"/>
      </w:pPr>
      <w:r>
        <w:t xml:space="preserve">The Courier Guy</w:t>
      </w:r>
    </w:p>
    <w:p>
      <w:pPr>
        <w:pStyle w:val="Bullet"/>
      </w:pPr>
      <w:r>
        <w:t xml:space="preserve">Portal: https://portal.thecourierguy.co.za/login</w:t>
      </w:r>
    </w:p>
    <w:p>
      <w:pPr>
        <w:pStyle w:val="Bullet"/>
      </w:pPr>
      <w:r>
        <w:t xml:space="preserve">API docs: https://thecourierguy.co.za/api-docs/</w:t>
      </w:r>
    </w:p>
    <w:p>
      <w:pPr>
        <w:pStyle w:val="Bullet"/>
      </w:pPr>
      <w:r>
        <w:t xml:space="preserve">Integration support: it@thecourierguy.co.za</w:t>
      </w:r>
    </w:p>
    <w:p>
      <w:r>
        <w:t>Locker, kiosk, and pickup-point integration support: integrations@tcglocker.co.za</w:t>
      </w:r>
    </w:p>
    <w:p>
      <w:pPr>
        <w:pStyle w:val="Heading1"/>
      </w:pPr>
      <w:r>
        <w:t>Webhooks</w:t>
      </w:r>
    </w:p>
    <w:p>
      <w:pPr>
        <w:pStyle w:val="Bullet"/>
      </w:pPr>
      <w:r>
        <w:t>Webhook calls (e.g. shipment status/tracking updates) originate from Courier Guy's servers to your endpoint — whitelist these static source IPs on your firewall if you restrict inbound traffic:</w:t>
      </w:r>
    </w:p>
    <w:p>
      <w:pPr>
        <w:pStyle w:val="Bullet"/>
      </w:pPr>
      <w:r>
        <w:t>Live — api.portal.thecourierguy.co.za: 13.244.230.182</w:t>
      </w:r>
    </w:p>
    <w:p>
      <w:pPr>
        <w:pStyle w:val="Bullet"/>
      </w:pPr>
      <w:r>
        <w:t>Sandbox — api.shiplogic.com: 13.247.30.105</w:t>
      </w:r>
    </w:p>
    <w:p>
      <w:pPr>
        <w:pStyle w:val="Heading1"/>
      </w:pPr>
      <w:r>
        <w:t xml:space="preserve">Implementation rules</w:t>
      </w:r>
    </w:p>
    <w:p>
      <w:pPr>
        <w:pStyle w:val="Bullet"/>
      </w:pPr>
      <w:r>
        <w:t xml:space="preserve">Keep API keys server-side. Never expose them in browser code, repositories, or logs.</w:t>
      </w:r>
    </w:p>
    <w:p>
      <w:pPr>
        <w:pStyle w:val="Bullet"/>
      </w:pPr>
      <w:r>
        <w:t xml:space="preserve">Validate fields and types before sending. An invalid type or missing required field cannot be repaired by retrying.</w:t>
      </w:r>
    </w:p>
    <w:p>
      <w:pPr>
        <w:pStyle w:val="Bullet"/>
      </w:pPr>
      <w:r>
        <w:t xml:space="preserve">Use valid address data. Company is optional, but a company address must be recognisable by geocoding.</w:t>
      </w:r>
    </w:p>
    <w:p>
      <w:pPr>
        <w:pStyle w:val="Bullet"/>
      </w:pPr>
      <w:r>
        <w:t xml:space="preserve">Leave lat/lng blank (omit them) when unknown. Do not send null—null also causes errors. Zero coordinates point to the Atlantic Ocean.</w:t>
      </w:r>
    </w:p>
    <w:p>
      <w:pPr>
        <w:pStyle w:val="Bullet"/>
      </w:pPr>
      <w:r>
        <w:t xml:space="preserve">General parcel maximum: 800 × 800 × 800 cm and 2 000 kg. Use realistic dimensions and account for volumetric weight.</w:t>
      </w:r>
    </w:p>
    <w:p>
      <w:pPr>
        <w:pStyle w:val="Heading1"/>
      </w:pPr>
      <w:r>
        <w:t xml:space="preserve">Services</w:t>
      </w:r>
    </w:p>
    <w:p>
      <w:pPr>
        <w:pStyle w:val="Bullet"/>
      </w:pPr>
      <w:r>
        <w:t xml:space="preserve">Sandbox allows broad ECO testing; production does not. Request/choose a route-valid service in live.</w:t>
      </w:r>
    </w:p>
    <w:p>
      <w:pPr>
        <w:pStyle w:val="Bullet"/>
      </w:pPr>
      <w:r>
        <w:t>Local: LPF or LPP; sandbox may use LSP where LPP is unavailable. National: ECO or PRI (formerly OVN). Regional: ECOR or PRIR (formerly OVNR). Regional-to-Regional: ECORR.</w:t>
      </w:r>
    </w:p>
    <w:p>
      <w:pPr>
        <w:rPr>
          <w:i/>
        </w:rPr>
      </w:pPr>
      <w:r>
        <w:rPr>
          <w:i/>
        </w:rPr>
        <w:t>Note: As of 1 September 2026, Economy Road services (ECO / ECOR) are tiered by weight — 6 bands (ECO/R 1 to ECO/R 6, from up to 2kg through to up to 35kg) — across 3 zones (National = ECO, Regional = ECOR, and Regional-to-Regional = ECORR), rather than a single flat rate. See the current rate card for exact pricing per tier and zone.</w:t>
      </w:r>
    </w:p>
    <w:p>
      <w:pPr>
        <w:pStyle w:val="Heading1"/>
      </w:pPr>
      <w:r>
        <w:t xml:space="preserve">Locker and kiosk rules</w:t>
      </w:r>
    </w:p>
    <w:p>
      <w:pPr>
        <w:pStyle w:val="Bullet"/>
      </w:pPr>
      <w:r>
        <w:t xml:space="preserve">Locker or kiosk delivery limit: 60 × 41 × 69 cm and 20 kg.</w:t>
      </w:r>
    </w:p>
    <w:p>
      <w:pPr>
        <w:pStyle w:val="Bullet"/>
      </w:pPr>
      <w:r>
        <w:t xml:space="preserve">A locker collection selection is for location reference, not a physical collection address. The sender must visit a locker; leave locker/kiosk collection blank where the integration supports it.</w:t>
      </w:r>
    </w:p>
    <w:p>
      <w:pPr>
        <w:pStyle w:val="Bullet"/>
      </w:pPr>
      <w:r>
        <w:t>For locker, kiosk, and pickup-point integration support, email integrations@tcglocker.co.za. See the separate Locker API Examples guide for request patterns.</w:t>
      </w:r>
    </w:p>
    <w:p>
      <w:pPr>
        <w:pStyle w:val="Heading1"/>
      </w:pPr>
      <w:r>
        <w:t xml:space="preserve">Labels and shipment notes</w:t>
      </w:r>
    </w:p>
    <w:p>
      <w:pPr>
        <w:pStyle w:val="Bullet"/>
      </w:pPr>
      <w:r>
        <w:t xml:space="preserve">ZPL labels: GET /shipments/label/stickers?format=zpl using id or tracking_reference.</w:t>
      </w:r>
    </w:p>
    <w:p>
      <w:pPr>
        <w:pStyle w:val="Bullet"/>
      </w:pPr>
      <w:r>
        <w:t xml:space="preserve">For more than 30 parcels, page label requests, for example: ?limit=20&amp;offset=0.</w:t>
      </w:r>
    </w:p>
    <w:p>
      <w:pPr>
        <w:pStyle w:val="Bullet"/>
      </w:pPr>
      <w:r>
        <w:t xml:space="preserve">Shipment notes: GET /v2/shipments/notes/external?shipment_id=123.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</w:style>
  <w:style w:type="paragraph" w:styleId="Title">
    <w:name w:val="Title"/>
    <w:rPr>
      <w:b/>
      <w:sz w:val="36"/>
      <w:color w:val="1F4E79"/>
    </w:rPr>
  </w:style>
  <w:style w:type="paragraph" w:styleId="Subtitle">
    <w:name w:val="Subtitle"/>
    <w:rPr>
      <w:i/>
      <w:color w:val="666666"/>
    </w:rPr>
  </w:style>
  <w:style w:type="paragraph" w:styleId="Heading1">
    <w:name w:val="heading 1"/>
    <w:rPr>
      <w:b/>
      <w:sz w:val="28"/>
      <w:color w:val="1F4E79"/>
    </w:rPr>
  </w:style>
  <w:style w:type="paragraph" w:styleId="Heading2">
    <w:name w:val="heading 2"/>
    <w:rPr>
      <w:b/>
      <w:sz w:val="24"/>
      <w:color w:val="2F5597"/>
    </w:rPr>
  </w:style>
  <w:style w:type="paragraph" w:styleId="Bullet">
    <w:name w:val="Bullet"/>
    <w:pPr>
      <w:ind w:left="540" w:hanging="270"/>
    </w:pPr>
  </w:style>
  <w:style w:type="paragraph" w:styleId="Code">
    <w:name w:val="Code"/>
    <w:pPr>
      <w:shd w:fill="F2F2F2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