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COURIER GUY API — FAQ &amp; TROUBLESHOOTING</w:t>
      </w:r>
    </w:p>
    <w:p>
      <w:pPr>
        <w:pStyle w:val="Subtitle"/>
      </w:pPr>
      <w:r>
        <w:t>Version 4.4 | Common developer questions and error checklist</w:t>
      </w:r>
    </w:p>
    <w:p>
      <w:pPr>
        <w:pStyle w:val="Heading1"/>
      </w:pPr>
      <w:r>
        <w:t xml:space="preserve">FAQ</w:t>
      </w:r>
    </w:p>
    <w:p>
      <w:pPr>
        <w:pStyle w:val="Heading2"/>
      </w:pPr>
      <w:r>
        <w:t xml:space="preserve">Do sandbox and live use the same key?</w:t>
      </w:r>
    </w:p>
    <w:p>
      <w:pPr>
        <w:pStyle w:val="Normal"/>
      </w:pPr>
      <w:r>
        <w:t xml:space="preserve">No. Pair each token with the matching environment endpoint.</w:t>
      </w:r>
    </w:p>
    <w:p>
      <w:pPr>
        <w:pStyle w:val="Heading2"/>
      </w:pPr>
      <w:r>
        <w:t xml:space="preserve">Can ECO be used for every shipment?</w:t>
      </w:r>
    </w:p>
    <w:p>
      <w:pPr>
        <w:pStyle w:val="Normal"/>
      </w:pPr>
      <w:r>
        <w:t xml:space="preserve">No. Sandbox is permissive; production service availability depends on the route.</w:t>
      </w:r>
    </w:p>
    <w:p>
      <w:pPr>
        <w:rPr>
          <w:i/>
        </w:rPr>
      </w:pPr>
      <w:r>
        <w:rPr>
          <w:i/>
        </w:rPr>
        <w:t>Note: As of 1 September 2026, Economy Road services (ECO / ECOR) are tiered by weight — 6 bands (ECO/R 1 to ECO/R 6, from up to 2kg through to up to 35kg) — across 3 zones (National = ECO, Regional = ECOR, and Regional-to-Regional = ECORR), rather than a single flat rate. See the current rate card for exact pricing per tier and zone.</w:t>
      </w:r>
    </w:p>
    <w:p>
      <w:pPr>
        <w:pStyle w:val="Heading2"/>
      </w:pPr>
      <w:r>
        <w:t xml:space="preserve">How do I retrieve Zebra labels?</w:t>
      </w:r>
    </w:p>
    <w:p>
      <w:pPr>
        <w:pStyle w:val="Normal"/>
      </w:pPr>
      <w:r>
        <w:t xml:space="preserve">Use GET /shipments/label/stickers?format=zpl and pass an id or tracking_reference.</w:t>
      </w:r>
    </w:p>
    <w:p>
      <w:pPr>
        <w:pStyle w:val="Heading2"/>
      </w:pPr>
      <w:r>
        <w:t xml:space="preserve">Can I send coordinates?</w:t>
      </w:r>
    </w:p>
    <w:p>
      <w:pPr>
        <w:pStyle w:val="Normal"/>
      </w:pPr>
      <w:r>
        <w:t xml:space="preserve">Yes if known. Otherwise leave them blank (omit them). Do not set them to null—null also causes errors. Never send 0.</w:t>
      </w:r>
    </w:p>
    <w:p>
      <w:pPr>
        <w:pStyle w:val="Heading2"/>
      </w:pPr>
      <w:r>
        <w:t>What are PRI and PRIR?</w:t>
      </w:r>
    </w:p>
    <w:p>
      <w:pPr/>
      <w:r>
        <w:t>PRI is the new name for PRI. PRIR is the new name for PRIR. Update service mappings and display labels accordingly.</w:t>
      </w:r>
    </w:p>
    <w:p>
      <w:pPr>
        <w:pStyle w:val="Heading2"/>
      </w:pPr>
      <w:r>
        <w:t xml:space="preserve">What causes locker delivery to fail?</w:t>
      </w:r>
    </w:p>
    <w:p>
      <w:pPr>
        <w:pStyle w:val="Normal"/>
      </w:pPr>
      <w:r>
        <w:t xml:space="preserve">Locker/kiosk dimensions must not exceed 60 × 41 × 69 cm and 20 kg.</w:t>
      </w:r>
    </w:p>
    <w:p>
      <w:pPr>
        <w:pStyle w:val="Heading1"/>
      </w:pPr>
      <w:r>
        <w:t xml:space="preserve">Common errors</w:t>
      </w:r>
    </w:p>
    <w:p>
      <w:pPr>
        <w:pStyle w:val="Bullet"/>
      </w:pPr>
      <w:r>
        <w:t xml:space="preserve">API key invalid: check the Bearer token, Account Owner key creation, and matching environment/endpoint.</w:t>
      </w:r>
    </w:p>
    <w:p>
      <w:pPr>
        <w:pStyle w:val="Bullet"/>
      </w:pPr>
      <w:r>
        <w:t xml:space="preserve">Account on hold or insufficient balance: resolve account status before retrying.</w:t>
      </w:r>
    </w:p>
    <w:p>
      <w:pPr>
        <w:pStyle w:val="Bullet"/>
      </w:pPr>
      <w:r>
        <w:t xml:space="preserve">Address failure: send complete, valid address fields and correct province/zone.</w:t>
      </w:r>
    </w:p>
    <w:p>
      <w:pPr>
        <w:pStyle w:val="Bullet"/>
      </w:pPr>
      <w:r>
        <w:t xml:space="preserve">Contact failure: use valid contact values; do not use a hyphen as a phone-number separator.</w:t>
      </w:r>
    </w:p>
    <w:p>
      <w:pPr>
        <w:pStyle w:val="Bullet"/>
      </w:pPr>
      <w:r>
        <w:t xml:space="preserve">Service unavailable: choose a route-valid live service rather than relying on sandbox results.</w:t>
      </w:r>
    </w:p>
    <w:p>
      <w:pPr>
        <w:pStyle w:val="Bullet"/>
      </w:pPr>
      <w:r>
        <w:t xml:space="preserve">422 Unprocessable Entity: validate required fields, request data types, parcel limits, declared value, service code, and allowed shipment action.</w:t>
      </w:r>
    </w:p>
    <w:p>
      <w:pPr>
        <w:pStyle w:val="Heading1"/>
      </w:pPr>
      <w:r>
        <w:t xml:space="preserve">JSON model mismatch</w:t>
      </w:r>
    </w:p>
    <w:p>
      <w:pPr>
        <w:pStyle w:val="Normal"/>
      </w:pPr>
      <w:r>
        <w:t xml:space="preserve">rate_adjustments, surcharges, time_based_rate_adjustments, and extras can be arrays. Model them as arrays/lists of objects—not strings—because sandbox may return [] while live can return populated objects.</w:t>
      </w:r>
    </w:p>
    <w:p>
      <w:pPr>
        <w:pStyle w:val="Code"/>
      </w:pPr>
      <w:r>
        <w:rPr>
          <w:rFonts w:ascii="Consolas" w:hAnsi="Consolas"/>
          <w:sz w:val="18"/>
        </w:rPr>
        <w:t xml:space="preserve">public List&lt;RateAdjustment&gt; rate_adjustments { get; set; }</w:t>
      </w:r>
    </w:p>
    <w:p>
      <w:pPr>
        <w:pStyle w:val="Heading1"/>
      </w:pPr>
      <w:r>
        <w:t xml:space="preserve">Before escalating</w:t>
      </w:r>
    </w:p>
    <w:p>
      <w:pPr>
        <w:pStyle w:val="Bullet"/>
      </w:pPr>
      <w:r>
        <w:t xml:space="preserve">Include endpoint, environment, HTTP status, timestamp, request ID, and sanitized request/response bodies.</w:t>
      </w:r>
    </w:p>
    <w:p>
      <w:pPr>
        <w:pStyle w:val="Bullet"/>
      </w:pPr>
      <w:r>
        <w:t xml:space="preserve">Remove API keys and customer personal data before sending logs.</w:t>
      </w:r>
    </w:p>
    <w:p>
      <w:pPr>
        <w:pStyle w:val="Bullet"/>
      </w:pPr>
      <w:r>
        <w:t>Courier API: it@thecourierguy.co.za | Locker, kiosk, and pickup-point support: integrations@tcglocker.co.za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Title">
    <w:name w:val="Title"/>
    <w:rPr>
      <w:b/>
      <w:sz w:val="36"/>
      <w:color w:val="1F4E79"/>
    </w:rPr>
  </w:style>
  <w:style w:type="paragraph" w:styleId="Subtitle">
    <w:name w:val="Subtitle"/>
    <w:rPr>
      <w:i/>
      <w:color w:val="666666"/>
    </w:rPr>
  </w:style>
  <w:style w:type="paragraph" w:styleId="Heading1">
    <w:name w:val="heading 1"/>
    <w:rPr>
      <w:b/>
      <w:sz w:val="28"/>
      <w:color w:val="1F4E79"/>
    </w:rPr>
  </w:style>
  <w:style w:type="paragraph" w:styleId="Heading2">
    <w:name w:val="heading 2"/>
    <w:rPr>
      <w:b/>
      <w:sz w:val="24"/>
      <w:color w:val="2F5597"/>
    </w:rPr>
  </w:style>
  <w:style w:type="paragraph" w:styleId="Bullet">
    <w:name w:val="Bullet"/>
    <w:pPr>
      <w:ind w:left="540" w:hanging="270"/>
    </w:pPr>
  </w:style>
  <w:style w:type="paragraph" w:styleId="Code">
    <w:name w:val="Code"/>
    <w:pPr>
      <w:shd w:fill="F2F2F2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