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45C" w:rsidRDefault="00967D6D">
      <w:pPr>
        <w:pStyle w:val="Title"/>
      </w:pPr>
      <w:r>
        <w:t>THE COURIER GUY API — QUICK START</w:t>
      </w:r>
    </w:p>
    <w:p w:rsidR="00B2445C" w:rsidRDefault="00967D6D">
      <w:pPr>
        <w:pStyle w:val="Subtitle"/>
      </w:pPr>
      <w:r>
        <w:t>Version 4.4 | Developer setup in four steps</w:t>
      </w:r>
    </w:p>
    <w:p w:rsidR="00B2445C" w:rsidRDefault="00967D6D">
      <w:pPr>
        <w:pStyle w:val="Heading1"/>
      </w:pPr>
      <w:r>
        <w:t>1. Create an API key</w:t>
      </w:r>
    </w:p>
    <w:p w:rsidR="00B2445C" w:rsidRDefault="00967D6D">
      <w:pPr>
        <w:pStyle w:val="Bullet"/>
      </w:pPr>
      <w:r>
        <w:t>Register a live account at https://portal.thecourierguy.co.za/register or a sandbox account at https://tcg-sandbox.shiplogic.com/register.</w:t>
      </w:r>
    </w:p>
    <w:p w:rsidR="00B2445C" w:rsidRDefault="00967D6D">
      <w:pPr>
        <w:pStyle w:val="Bullet"/>
      </w:pPr>
      <w:r>
        <w:t xml:space="preserve">Sign in as an Account Owner, open Integration menu on the left navigation, select + Create API key, name it something unique or leave it blank, then copy the Bearer token.</w:t>
      </w:r>
    </w:p>
    <w:p w:rsidR="00B2445C" w:rsidRDefault="00967D6D">
      <w:pPr>
        <w:pStyle w:val="Bullet"/>
      </w:pPr>
      <w:r>
        <w:t>Sandbox tokens work only against the sandbox endpoint (https://api.shiplogic.com); live tokens work only against the live endpoint (https://api.portal.thecourierguy.co.za). Do not mix a token with the wrong endpoint.</w:t>
      </w:r>
    </w:p>
    <w:p w:rsidR="00B2445C" w:rsidRDefault="00967D6D">
      <w:pPr>
        <w:pStyle w:val="Heading1"/>
      </w:pPr>
      <w:r>
        <w:t xml:space="preserve">2. Use the right API and endpoint</w:t>
      </w:r>
    </w:p>
    <w:p w:rsidR="00B2445C" w:rsidRDefault="00967D6D">
      <w:pPr>
        <w:pStyle w:val="Heading2"/>
      </w:pPr>
      <w:r>
        <w:t>Courier API (Can do lockers, kiosk and points as well)</w:t>
      </w:r>
    </w:p>
    <w:p w:rsidR="00B2445C" w:rsidRDefault="00967D6D">
      <w:pPr>
        <w:pStyle w:val="Bullet"/>
      </w:pPr>
      <w:r>
        <w:t>Sandbox rates: https://api.shiplogic.com/v2/rates</w:t>
      </w:r>
    </w:p>
    <w:p w:rsidR="00B2445C" w:rsidRDefault="00967D6D">
      <w:pPr>
        <w:pStyle w:val="Bullet"/>
      </w:pPr>
      <w:r>
        <w:t>Live rates: https://api.portal.thecourierguy.co.za/v2/rates</w:t>
      </w:r>
    </w:p>
    <w:p w:rsidR="00B2445C" w:rsidRDefault="00967D6D">
      <w:pPr>
        <w:pStyle w:val="Bullet"/>
      </w:pPr>
      <w:r>
        <w:t>Official docs: https://thecourierguy.co.za/api-docs/</w:t>
      </w:r>
    </w:p>
    <w:p w:rsidR="00B2445C" w:rsidRDefault="00967D6D">
      <w:pPr>
        <w:pStyle w:val="Heading1"/>
      </w:pPr>
      <w:bookmarkStart w:id="0" w:name="_GoBack"/>
      <w:bookmarkEnd w:id="0"/>
      <w:r>
        <w:t>3. Test a rate request</w:t>
      </w:r>
    </w:p>
    <w:p w:rsidR="00B2445C" w:rsidRDefault="00967D6D">
      <w:pPr>
        <w:pStyle w:val="Code"/>
      </w:pPr>
      <w:r>
        <w:rPr>
          <w:rFonts w:ascii="Consolas" w:hAnsi="Consolas"/>
          <w:sz w:val="18"/>
        </w:rPr>
        <w:t>POST /v2/rates</w:t>
      </w:r>
    </w:p>
    <w:p w:rsidR="00B2445C" w:rsidRDefault="00967D6D">
      <w:pPr>
        <w:pStyle w:val="Code"/>
      </w:pPr>
      <w:r>
        <w:rPr>
          <w:rFonts w:ascii="Consolas" w:hAnsi="Consolas"/>
          <w:sz w:val="18"/>
        </w:rPr>
        <w:t>Authorization: Bearer YOUR_API_KEY</w:t>
      </w:r>
    </w:p>
    <w:p w:rsidR="00B2445C" w:rsidRDefault="00967D6D">
      <w:pPr>
        <w:pStyle w:val="Code"/>
      </w:pPr>
      <w:r>
        <w:rPr>
          <w:rFonts w:ascii="Consolas" w:hAnsi="Consolas"/>
          <w:sz w:val="18"/>
        </w:rPr>
        <w:t>Content-Type: application/json</w:t>
      </w:r>
    </w:p>
    <w:p w:rsidR="00B2445C" w:rsidRDefault="00967D6D">
      <w:pPr>
        <w:pStyle w:val="Code"/>
      </w:pPr>
      <w:r>
        <w:rPr>
          <w:rFonts w:ascii="Consolas" w:hAnsi="Consolas"/>
          <w:sz w:val="18"/>
        </w:rPr>
        <w:t xml:space="preserve">Include collection_address, delivery_address, parcels, and a valid service_level_code.</w:t>
      </w:r>
    </w:p>
    <w:p w:rsidR="00B2445C" w:rsidRDefault="00967D6D">
      <w:pPr>
        <w:pStyle w:val="Heading1"/>
      </w:pPr>
      <w:r>
        <w:t>4. Go live safely</w:t>
      </w:r>
    </w:p>
    <w:p w:rsidR="00B2445C" w:rsidRDefault="00967D6D">
      <w:pPr>
        <w:pStyle w:val="Bullet"/>
      </w:pPr>
      <w:r>
        <w:t>Sandbox prices are demo prices. Do not use sandbox service availability as live routing logic.</w:t>
      </w:r>
    </w:p>
    <w:p>
      <w:r>
        <w:t>For locker, kiosk, and pickup-point integration support, email integrations@tcglocker.co.za.</w:t>
      </w:r>
    </w:p>
    <w:p w:rsidR="00B2445C" w:rsidRDefault="00967D6D">
      <w:pPr>
        <w:pStyle w:val="Bullet"/>
      </w:pPr>
      <w:r>
        <w:t>On live, use a service valid for the route; ECO does not apply everywhere. PRI replaces OVN and PRIR replaces OVNR.</w:t>
      </w:r>
    </w:p>
    <w:p>
      <w:pPr>
        <w:rPr>
          <w:i/>
        </w:rPr>
      </w:pPr>
      <w:r>
        <w:rPr>
          <w:i/>
        </w:rPr>
        <w:t>Note: As of 1 September 2026, Economy Road services (ECO / ECOR) are tiered by weight — 6 bands (ECO/R 1 to ECO/R 6, from up to 2kg through to up to 35kg) — across 3 zones (National = ECO, Regional = ECOR, and Regional-to-Regional = ECORR), rather than a single flat rate. See the current rate card for exact pricing per tier and zone.</w:t>
      </w:r>
    </w:p>
    <w:p w:rsidR="00B2445C" w:rsidRDefault="00967D6D">
      <w:pPr>
        <w:pStyle w:val="Bullet"/>
      </w:pPr>
      <w:r>
        <w:t>Cancel all test shipments, including sandbox shipments.</w:t>
      </w:r>
    </w:p>
    <w:p w:rsidR="00B2445C" w:rsidRDefault="00967D6D">
      <w:pPr>
        <w:pStyle w:val="Heading1"/>
      </w:pPr>
      <w:r>
        <w:t>Pre-flight checklist</w:t>
      </w:r>
    </w:p>
    <w:p w:rsidR="00B2445C" w:rsidRDefault="00967D6D">
      <w:pPr>
        <w:pStyle w:val="Bullet"/>
      </w:pPr>
      <w:r>
        <w:t>Address contains street, suburb/local area, city, province/zone, country, and postal code.</w:t>
      </w:r>
    </w:p>
    <w:p w:rsidR="00B2445C" w:rsidRDefault="00967D6D">
      <w:pPr>
        <w:pStyle w:val="Bullet"/>
      </w:pPr>
      <w:r>
        <w:t>Parcel has description, length, width, height, and weight.</w:t>
      </w:r>
    </w:p>
    <w:p w:rsidR="00B2445C" w:rsidRDefault="00967D6D">
      <w:pPr>
        <w:pStyle w:val="Bullet"/>
      </w:pPr>
      <w:r>
        <w:t>Coordinates are left blank (omitted) when unknown—never null, never zero.</w:t>
      </w:r>
    </w:p>
    <w:p w:rsidR="00B2445C" w:rsidRDefault="00967D6D">
      <w:pPr>
        <w:pStyle w:val="Bullet"/>
      </w:pPr>
      <w:r>
        <w:t>Token, endpoint, and environment match.</w:t>
      </w:r>
    </w:p>
    <w:sectPr w:rsidR="00B2445C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2445C"/>
    <w:rsid w:val="00967D6D"/>
    <w:rsid w:val="00B2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051881-630C-457E-AA3D-4D5CF688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ptos" w:hAnsi="Aptos"/>
    </w:rPr>
  </w:style>
  <w:style w:type="paragraph" w:styleId="Heading1">
    <w:name w:val="heading 1"/>
    <w:pPr>
      <w:outlineLvl w:val="0"/>
    </w:pPr>
    <w:rPr>
      <w:b/>
      <w:color w:val="1F4E79"/>
      <w:sz w:val="28"/>
    </w:rPr>
  </w:style>
  <w:style w:type="paragraph" w:styleId="Heading2">
    <w:name w:val="heading 2"/>
    <w:pPr>
      <w:outlineLvl w:val="1"/>
    </w:pPr>
    <w:rPr>
      <w:b/>
      <w:color w:val="2F5597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i/>
      <w:color w:val="666666"/>
    </w:rPr>
  </w:style>
  <w:style w:type="paragraph" w:customStyle="1" w:styleId="Bullet">
    <w:name w:val="Bullet"/>
    <w:pPr>
      <w:ind w:left="540" w:hanging="270"/>
    </w:pPr>
  </w:style>
  <w:style w:type="paragraph" w:customStyle="1" w:styleId="Code">
    <w:name w:val="Code"/>
    <w:pPr>
      <w:shd w:val="clear" w:color="auto" w:fill="F2F2F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Baker</cp:lastModifiedBy>
  <cp:revision>2</cp:revision>
  <dcterms:created xsi:type="dcterms:W3CDTF">2026-08-07T14:20:00Z</dcterms:created>
  <dcterms:modified xsi:type="dcterms:W3CDTF">2026-08-07T14:24:00Z</dcterms:modified>
</cp:coreProperties>
</file>