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3vuctauyh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WHY KITCHENS AND BATHS ARE DIFFERENT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two most expensive rooms in a house because: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 lives here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behavior clusters here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dictates sanity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Mistakes get judged daily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Cabinets in these rooms aren’t furniture — they’re infrastructure.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mhp6j9s0z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CABINET TYPES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frame — traditional, stronger, reveals visible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Frameless (Euro) — cleaner, modern, tighter tolerances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— cheap but limited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Semi-custom — sweet spot for most builds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— where budget meets ego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kitchen is a math problem disguised as design.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c5x1g0t4l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INSTALLATION PRIORITIES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the base run first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Shim until doors behave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into studs, not dreams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consistent reveals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hardware LAST, not first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kitchens are measured in lines, not colors.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sokgjdgk3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Sagging doors → cheap hinges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toe kick → water damage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scribe → wall gaps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Bad grain match → visual chaos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Kitchens don’t fail mechanically — they fail emotionally.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