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gsxjd4a27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Replacing an exterior door slab or the entire pre-hung unit to improve security, weather resistance, curb appeal, and energy efficiency.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q2uyb65fm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 leaks or daylight visible around door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Soft, rotten jamb or threshold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hinges or sagging frame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locking or closing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energy usage + draft complaints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216gnoxj4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Alignment + hinge mortising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Weatherstripping integration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swing + handing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Drill/driver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Oscillating tool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+ chisel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+ shims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gun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dyfvc9i5o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Pre-hung exterior door OR replacement slab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shims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Exterior-grade caulk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Weatherstripping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seal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33sitgod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door + interior trim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Dry-fit door + confirm swing direction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 hinge side + insert shims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jamb screws into framing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 threshold + apply caulk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hardware + weatherstripping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latch/lock engagement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strike plate if required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w2q22hybx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Fire-rated doors required between garage &amp; living space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Egress rules in some jurisdictions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locks must meet UL security standards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3t00udbwx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Fasteners into drywall, not framing = instant sag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Wrong threshold seal = wind + water intrusion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sill pan in wet climates = rot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Misaligned hinges create binding over time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7hk8jzcsd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3–6 hrs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$900–$4,200 (style/type dependent)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rpoeeoga1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“No need for shims”—major red flag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sill pan or threshold seal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Decorative doors with non-rated glass near garage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Inflated hardware costs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v2isb4ztn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jamb rot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size modification required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Like-for-like replacement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l9fei88l0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hinge tension test video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lock lubrication + care guide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storm door or smart lock upgrade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