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lxs2ntv9e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deteriorated mortar from masonry joints and replacing it with fresh mortar to restore structural stability, prevent water intrusion, and preserve brick or stone surfaces.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bif1t2k7o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Mortar crumbles when rubbed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forming between brick joints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stains along walls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brick faces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older than 40+ years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n2ukm9zmb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Mortar color matching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clearing + repack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brick faces from damage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Angle grinder + mortar blade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Tuckpointing trowel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raker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+ chisel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mask + goggles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ubety0n2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Mortar mix compatible with brick age (lime vs Portland)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brushing tools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Sponge + misting spray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Sealer (optional)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mz4ey7tc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loose mortar to proper depth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Brush joints clean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 mortar to peanut butter consistency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 joints securely with trowel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finish to original profile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 lightly to prevent rapid dry-out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Cure as directed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 if required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kzz8y5qp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 brick requires lime mortar—Portland cement damages old masonry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Chimneys may require permit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Freeze-thaw regions need breathable sealers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1crjfxcto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Grinding too deep = brick face spalling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wrong mortar type = catastrophic failure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Over-wetting = weakened mortar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Sealing non-breathable surfaces traps moisture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mj0y29mn7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3–10 hrs depending on area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Pro: $600–$8,500 depending on elevation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Chimneys add complexity and cost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n7pqimeq8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gray mortar with red brick mismatch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 mortar type for era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curing misting schedule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Superficial smear instead of proper depth repacking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e2qlpq1oz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 brick involved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 work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Tall walls needing scaffolding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 ground-level areas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e8jtqjrb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mortar color match sample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moisture ingress report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chimney cap upgrade offer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