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k7go998jb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Repairing structural cracks, applying new plaster, quartz, or pebble finishes, and restoring watertight integrity to pool shells showing deterioration, staining, or rough surfaces.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sy0szk9k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Rough surface cutting swimmers’ feet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cracks running along walls or steps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Stains that don’t brush out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chalking or flaking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loss not explained by evaporation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older than 10–20 years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pr04yjg7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Crack routing + bonding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Plaster / pebble finish application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chemistry stabilization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grinder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Trowels + floats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 injection epoxy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wash tools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Submersible pump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bketsdop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Interior finish (plaster, quartz, or pebble)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agent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 injection epoxy or hydraulic cement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+ coping (optional upgrades)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chemicals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zo0ytk68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 pool + remove hydrostatic pressure plugs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cracks + inject epoxy or fill with 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Acid wash + neutralize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bonding coat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plaster/pebble finish evenly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pool immediately after cure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chemicals + run filtration continuously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brushing schedule daily during startup period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wl2yafl2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states require permitted resurfacing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Anti-entrapment drains (VGB Act) must be compliant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water pH for startup required to avoid etching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kvex5uedn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Draining without relief valves = pool POP-OUT risk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Incorrect chemical startup ruins fresh plaster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Working in empty pool = fume hazard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Misdiagnosed crack = structural failure later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2ll84mb6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Not recommended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Pro: $6,500–$22,000 depending on finish type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and quartz last longer than plaster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8mvx3n4vh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pool instead of resurfacing — temporary band-aid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crack routing before patching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startup chemistry instructions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plaster in shaded freeze zones without additives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5tmn8kxu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structural cracking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resurfacing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water loss source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 cosmetic patch only (rare case)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d7iwlgweh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lifetime crack map to track movement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startup schedule on fridge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chemistry + surface inspection option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