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7imski2j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damaged fence panels—typically wood privacy panels—and replacing them with new panels to restore security, preserve privacy, and maintain property aesthetics.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5qv52090c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Warped or cracked boards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Storm damage or leaning sections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near ground contact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loose nails causing rattling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notice or boundary complaint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Pets escaping through gaps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dwqqfciz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Straight-line alignment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carpentry cuts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Leveling and post-checking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Drill/driver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Level, tape measure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Saw (circular or miter)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Pry bar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 (galvanized or exterior screws)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2d5mmipc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Replacement fence panels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Galvanized screws or nails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caps or paint (optional)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Gravel or concrete (if post replaced)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f6pawvdzu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posts for rot or lean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damaged panels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Cut new panel to fit (if needed)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panel to rails with exterior fasteners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straight alignment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Seal/paint if required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post caps to prevent water intrusion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rgoyx7se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Fence height restrictions by city/HOA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line encroachment rules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depth required for wind zones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areas require permit for replacement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c4yi1nzzx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Attaching panels to failing posts = wasted repair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Non-galvanized screws = rust bleed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rail overlap = panel sag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Uneven ground = stair-step pattern mistakes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4jl41oz61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1–4 hrs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$250–$1,200 per section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Panels: $80–$260 each depending on style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by44yqpn3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interior fasteners outside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Painting wet pressure-treated lumber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Upselling post replacement when unnecessary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alignment string line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b8cbptwom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are compromised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quantities replaced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Sloped yards require custom cuts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panel replacement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flat yard access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oan0csdm0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post caps to extend life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annual fence wash/stain maintenance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leftover screws and touch-up stain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