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vgjsi8v3g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Repairing non-structural foundation cracks using epoxy or polyurethane injection to prevent water intrusion, stop crack migration, and protect the structural integrity of the home.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0abx1qqvj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Hairline cracks visible in poured concrete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seepage after rain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Basement wall damp spots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Efflorescence (white powder) along crack path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Crack width ≤ 1/4” and no foundation displacement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Floors remain level and doors still operate normally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0odafkdm9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structural vs cosmetic cracks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injection techniques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inspection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Chisel or crack router (optional)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 ports + surface paste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gun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(gloves, goggles, respirator)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opiupullx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Epoxy or polyurethane crack injection kit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seal paste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Sanding disc (optional)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patch mix for non-injection repairs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4jeouxpxg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crack + surrounding area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injection ports every 6–12”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surface paste to seal crack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 epoxy/polyurethane bottom-up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cure per product spec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ports + patch surface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seal with moisture test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lkaeb9hat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cracks require engineer assessment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Radon zones require radon-safe sealing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Basement repairs may require permit in some municipalities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afkg4ql1x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Mistaking structural crack for cosmetic = hidden disaster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Injecting without moisture test = poor bond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Using surface caulk only — does nothing long term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PPE with epoxy fumes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3h75adlha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2–6 hrs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repair: $700–$4,500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structural evaluation: $1,200–$3,500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s5l7b89wt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Filling crack with mortar only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Surface-only patching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moisture test before sealing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Recommending full foundation replacement prematurely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oih9ypwl8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Crack wider than 1/4”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cracks present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Bowing walls or sinking floors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Hairline vertical cracks in poured concrete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qlr6d868x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before/after moisture readings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yearly inspection package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written instructions + crack map for homeowner records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