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bnu86si3i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an old window unit and installing a modern replacement window into the existing frame—improving insulation, reducing drafts, and increasing home value without full frame reconstruction.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9fhqs5wmf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Drafts or visible light around window edges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 or moisture between panes (seal failure)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painted shut or difficult to open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bills rising year over year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Rotten sill, warped frame, or cracked glass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4c9d3akc9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Measuring rough openings correctly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trim carpentry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+ waterproofing awareness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Pry bar + putty knife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gun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Drill/driver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+ shims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knife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x83o2t4rn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Retrofit window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Foam or fiberglass insulation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 flashing tape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Exterior-grade caulk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 nails + shims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wjcxulaex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existing opening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interior stops + old sash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Dry-fit new window + install shims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unit through side jambs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Insulate perimeter gap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flashing tape + exterior caulk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Reinstall trim + test operation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lock engagement + seal integrity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u0arr1wu4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Egress requirements apply to bedrooms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Tempered glass required near doors + wet areas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U-factor &amp; SHGC vary by climate zone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ajs3nbqef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Over-insulating jams = window won’t operate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Caulking without flashing = water intrusion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Wrong glass type near tubs = code violation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Reusing rotten sill = failure within a year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weud5wi3u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2–4 hrs per window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$350–$1,200 per window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High-performance glass increases ROI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7y27osd8z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“Free lifetime caulk”—no such thing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mention of flashing tape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energy rating documentation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Pressure sales tactics for unnecessary upgrades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22zmdv20f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sill damage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Full-frame replacement required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Basic retrofit, square frame, minimal rot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kv0bw6p57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U-factor + SHGC specs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homeowner with maintenance tips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before/after drafts using smoke test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screen replacement + annual checkup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