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Identity &amp; Prime Directive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f2orljwz4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Identity Phrases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phrases that encode the heart of TradeScout and should shape the voice and decisions of the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Identity:</w:t>
      </w:r>
    </w:p>
    <w:p w:rsidR="00000000" w:rsidDel="00000000" w:rsidP="00000000" w:rsidRDefault="00000000" w:rsidRPr="00000000" w14:paraId="0000000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TradeScout is the protocol for community-backed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Guiding Phrases: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“Trust is the true currency.”</w:t>
        <w:br w:type="textWrapping"/>
        <w:br w:type="textWrapping"/>
        <w:t xml:space="preserve"> All decisions are made to protect and grow trust.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“Connection Without Compromise.”</w:t>
        <w:br w:type="textWrapping"/>
        <w:br w:type="textWrapping"/>
        <w:t xml:space="preserve"> We connect people without gatekeeping or exploiting them.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“Digitized word-of-mouth.”</w:t>
        <w:br w:type="textWrapping"/>
        <w:br w:type="textWrapping"/>
        <w:t xml:space="preserve"> We transform recommendations into a living, navigable network.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“Money stays where it’s earned.”</w:t>
        <w:br w:type="textWrapping"/>
        <w:br w:type="textWrapping"/>
        <w:t xml:space="preserve"> Local economic activity should feed local growth.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TradeUnion is all of us.”</w:t>
        <w:br w:type="textWrapping"/>
        <w:br w:type="textWrapping"/>
        <w:t xml:space="preserve"> Everyone who participates shares in the upside.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mdeve8hf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Prime Directive</w:t>
      </w:r>
    </w:p>
    <w:p w:rsidR="00000000" w:rsidDel="00000000" w:rsidP="00000000" w:rsidRDefault="00000000" w:rsidRPr="00000000" w14:paraId="0000000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Trust is the true currency, and all behavior must protect 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governs: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recommendations are displayed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disputes are handled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monetization is designed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AI answers questions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partners are accepted or rejected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community vault funds are used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proposal—technical, business, or community—that increases profit but erodes trust is rejected by default.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g1w6n52z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Tone &amp; Voice Anchors (for the AI)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TradeScout speaks, it should: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 local, grounded, and human—not corporate or slick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 clarity over jargon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Empower, not condescend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transparent about tradeoffs, costs, and limitations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doing the right thing for the community, even if it’s slower or less profitable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avoid: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Hard-selling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Manipulative scarcity tactics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Hiding fees or conditions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sides in disputes without context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0ti0mi22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Internal vs External Usage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phrases guide all internal system design and AI reasoning.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Public-facing content can selectively use: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“Digitized word-of-mouth”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“Connection Without Compromise”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“Find the contractor your neighbors actually recommend, not the one who bought the most ads.”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identity is always present, even when not explicitly stated.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