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7pxqjo7h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FRAMING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is the structural skeleton of a building. It defines shape, load paths, layout, and everything that will ever attach to the house. If framing is wrong, every trade that follows pays for 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framing is invisible and undeniable.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framing is visible forever.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xv6hd8y7i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CORE OBJECTIVES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loads safely to foundation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walls plumb, straight, square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layout consistency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spans and structural members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is engineering executed with lumber.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m0zuoq85i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MATERIALS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Dimensional lumber: 2x4, 2x6, 2x8, 2x10, 2x12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lumber: LVL, PSL, Glulam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Sheathing: plywood, OSB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connectors: joist hangers, straps, hurricane ties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material must match the load. Wood doesn’t negotiate.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s6adaj9dj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TOOLS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Circular saw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Nail gun/compressor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square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Chalk line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Laser level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Framing hammer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layout is sloppy, the job is already wrong.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zodjwpwb2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STANDARD WORK SEQUENCE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plates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and brace walls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headers and openings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Floor/roof joists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Sheathing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Tie-down hardware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is a rhythm, not a scramble.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liuez0rc4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COMMON FAILURES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Walls not crowned consistently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 undersized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tie in load paths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Uneven sheathing → drywall issues later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Framing mistakes echo for decades.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