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rbl0poajx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Repairing cracks in concrete driveways, sidewalks, or walkways to prevent water penetration, trip hazards, and further structural deterioration.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4a13vuur3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Visible cracking or surface separation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 hazards forming along crack edges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Weeds growing through concrete gaps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pooling in sections after rain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inspection noted settlement issues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pu7qpxsjp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Crack evaluation (static vs. moving)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Bonding agent application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Concrete finishing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Angle grinder or chisel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 gun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brush + broom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washer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Trowel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u6njynnep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Concrete crack filler or polyurethane sealant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Bonding adhesive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Self-leveling compound (for dips)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joint material (if missing)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1bpa8wej1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crack + remove loose debris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Widen crack to V-groove (improves bond)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bonding agent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crack with sealant or repair mix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 surface flush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curing per manufacturer specs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sealer if desired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Regrade soil along edges if pooling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kjubjeoey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Trip hazard thresholds vary (typically &gt;1/4”)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 walkway slope guidelines apply in some zones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Concrete sealers cannot enter storm drains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e9tpj7ykt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Surface patch without bonding = peels in 6 months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Filling movement joints solid = cracks return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Using interior caulk outdoors → UV failure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Acid wash runoff into drains = fines in many municipalities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7490a0wef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2–4 hrs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repair: $250–$2,800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concrete replacement: $4,500–$22,000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jr80qkaug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Painting concrete to “hide cracks”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joint control cuts in replaced sections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“Lifetime patch” claims without moisture test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talk of drainage or slope issues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to8c659su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if: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Cracks expand or change seasonally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slabs sinking or heaving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trip hazards present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Hairline and non-moving cracks only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pt17px98p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slope/level check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 driveway after repair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before/after crack map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annual inspection subscription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