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INFOVISH ERP &amp; CRM</w:t>
      </w:r>
    </w:p>
    <w:p>
      <w:pPr>
        <w:pStyle w:val="Subtitle"/>
      </w:pPr>
      <w:r>
        <w:t>Product Requirements Document (PRD) — Version 1.1</w:t>
      </w:r>
    </w:p>
    <w:p>
      <w:r>
        <w:t>Document ID: INF-ERP-PRD-001</w:t>
      </w:r>
    </w:p>
    <w:p>
      <w:r>
        <w:t>Date: 29 October 2026</w:t>
      </w:r>
    </w:p>
    <w:p>
      <w:r>
        <w:t>Owner: Infovish Systems</w:t>
      </w:r>
    </w:p>
    <w:p>
      <w:r>
        <w:t>Status: Product-level implementation baseline; detailed designs pending</w:t>
      </w:r>
    </w:p>
    <w:p>
      <w:r>
        <w:t>Tagline: One Intelligent Platform. Every Business Operation.</w:t>
      </w:r>
    </w:p>
    <w:p>
      <w:pPr>
        <w:pStyle w:val="Heading1"/>
      </w:pPr>
      <w:r>
        <w:t>1. Executive summary</w:t>
      </w:r>
    </w:p>
    <w:p>
      <w:r>
        <w:t>Infovish ERP is a modular, multi-tenant enterprise resource planning and customer relationship management platform for small, medium and large organizations. It combines core business operations with governed AI, official WhatsApp Business integration, automation, customization and managed Infovish Cloud hosting. Odoo and Flectra are functional reference points; full parity is aspirational and must be assessed by product version and edition.</w:t>
      </w:r>
    </w:p>
    <w:p>
      <w:pPr>
        <w:pStyle w:val="Heading1"/>
      </w:pPr>
      <w:r>
        <w:t>2. Objectives and product scope</w:t>
      </w:r>
    </w:p>
    <w:p>
      <w:pPr>
        <w:pStyle w:val="ListBullet"/>
      </w:pPr>
      <w:r>
        <w:t>OBJ-001 — Unified operational data and workflows</w:t>
      </w:r>
    </w:p>
    <w:p>
      <w:pPr>
        <w:pStyle w:val="ListBullet"/>
      </w:pPr>
      <w:r>
        <w:t>OBJ-002 — Modular adoption and controlled extensibility</w:t>
      </w:r>
    </w:p>
    <w:p>
      <w:pPr>
        <w:pStyle w:val="ListBullet"/>
      </w:pPr>
      <w:r>
        <w:t>OBJ-003 — Support multi-company and multi-branch operations</w:t>
      </w:r>
    </w:p>
    <w:p>
      <w:pPr>
        <w:pStyle w:val="ListBullet"/>
      </w:pPr>
      <w:r>
        <w:t>OBJ-004 — Configurable workflows and metadata-driven customization</w:t>
      </w:r>
    </w:p>
    <w:p>
      <w:pPr>
        <w:pStyle w:val="ListBullet"/>
      </w:pPr>
      <w:r>
        <w:t>OBJ-005 — Permission-governed AI assistance</w:t>
      </w:r>
    </w:p>
    <w:p>
      <w:pPr>
        <w:pStyle w:val="ListBullet"/>
      </w:pPr>
      <w:r>
        <w:t>OBJ-006 — Omnichannel communications</w:t>
      </w:r>
    </w:p>
    <w:p>
      <w:pPr>
        <w:pStyle w:val="ListBullet"/>
      </w:pPr>
      <w:r>
        <w:t>OBJ-007 — SaaS and dedicated deployment choices</w:t>
      </w:r>
    </w:p>
    <w:p>
      <w:pPr>
        <w:pStyle w:val="ListBullet"/>
      </w:pPr>
      <w:r>
        <w:t>OBJ-008 — Commercial subscription and entitlement management</w:t>
      </w:r>
    </w:p>
    <w:p>
      <w:pPr>
        <w:pStyle w:val="ListBullet"/>
      </w:pPr>
      <w:r>
        <w:t>OBJ-009 — Auditable financial and inventory integrity</w:t>
      </w:r>
    </w:p>
    <w:p>
      <w:pPr>
        <w:pStyle w:val="ListBullet"/>
      </w:pPr>
      <w:r>
        <w:t>OBJ-010 — Developer-friendly APIs and integration contracts</w:t>
      </w:r>
    </w:p>
    <w:p>
      <w:r>
        <w:t>Out of scope for first commercial launch: verified feature parity with competitors, comprehensive manufacturing, advanced payroll localization, arbitrary third-party code execution, full offline ERP, and unreviewed autonomous AI transactions.</w:t>
      </w:r>
    </w:p>
    <w:p>
      <w:pPr>
        <w:pStyle w:val="Heading1"/>
      </w:pPr>
      <w:r>
        <w:t>3. Personas, priorities and requirements conventions</w:t>
      </w:r>
    </w:p>
    <w:p>
      <w:r>
        <w:t>Personas: platform operators, tenant owners, system administrators, executives, sales representatives, accountants, procurement officers, warehouse operators, HR managers, production staff, support agents, customers, suppliers, developers and integration partners.</w:t>
      </w:r>
    </w:p>
    <w:p>
      <w:pPr>
        <w:pStyle w:val="ListBullet"/>
      </w:pPr>
      <w:r>
        <w:t>P0 — platform foundation and first commercial launch</w:t>
      </w:r>
    </w:p>
    <w:p>
      <w:pPr>
        <w:pStyle w:val="ListBullet"/>
      </w:pPr>
      <w:r>
        <w:t>P1 — operational expansion</w:t>
      </w:r>
    </w:p>
    <w:p>
      <w:pPr>
        <w:pStyle w:val="ListBullet"/>
      </w:pPr>
      <w:r>
        <w:t>P2 — advanced capabilities</w:t>
      </w:r>
    </w:p>
    <w:p>
      <w:pPr>
        <w:pStyle w:val="ListBullet"/>
      </w:pPr>
      <w:r>
        <w:t>P3 — enterprise and industry ecosystem</w:t>
      </w:r>
    </w:p>
    <w:p>
      <w:r>
        <w:t>Requirement identifiers remain stable across PRD, SAD, code, tests and release evidence. Statuses: Proposed, Approved, In Progress, Implemented, Verified, Released, Deprecated. Each requirement must be mapped to tests and a release.</w:t>
      </w:r>
    </w:p>
    <w:p>
      <w:pPr>
        <w:pStyle w:val="Heading1"/>
      </w:pPr>
      <w:r>
        <w:t>4. Core platform and tenancy</w:t>
      </w:r>
    </w:p>
    <w:p>
      <w:pPr>
        <w:pStyle w:val="Heading2"/>
      </w:pPr>
      <w:r>
        <w:t>TEN-001 through TEN-010  |  P0–P3</w:t>
      </w:r>
    </w:p>
    <w:p>
      <w:r>
        <w:t>Tenant provisioning, isolation, trusted context, lifecycle, migrations, subscriptions, domains, entitlements, regional and dedicated deployments.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IAM-001 through IAM-010  |  P0–P3</w:t>
      </w:r>
    </w:p>
    <w:p>
      <w:r>
        <w:t>Authentication, RBAC, membership, sessions, auditing, MFA, field permissions, SSO and attribute-based authorization.</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ORG-001 through ORG-008  |  P0–P2</w:t>
      </w:r>
    </w:p>
    <w:p>
      <w:r>
        <w:t>Companies, branches, departments, currencies, master data, numbering, fiscal calendars, intercompany and deduplication.</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MOD-001 through MOD-008  |  P0–P3</w:t>
      </w:r>
    </w:p>
    <w:p>
      <w:r>
        <w:t>Module manifests, dependencies, entitlements, feature flags, upgrades, diagnostics, hooks and partner extensions.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5. CRM and sales</w:t>
      </w:r>
    </w:p>
    <w:p>
      <w:pPr>
        <w:pStyle w:val="Heading2"/>
      </w:pPr>
      <w:r>
        <w:t>CRM-001 through CRM-014  |  P0–P2</w:t>
      </w:r>
    </w:p>
    <w:p>
      <w:r>
        <w:t>Leads, opportunities, pipelines, activities, assignment, forecasts, capture, territories, deduplication, AI scoring, churn indicators and account planning.</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SAL-001 through SAL-012  |  P0–P2</w:t>
      </w:r>
    </w:p>
    <w:p>
      <w:r>
        <w:t>Products and services, quotations, PDFs, sales orders, pricing, fulfillment, invoicing, returns, contracts, commissions and CPQ.</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6. Finance and accounting</w:t>
      </w:r>
    </w:p>
    <w:p>
      <w:pPr>
        <w:pStyle w:val="Heading2"/>
      </w:pPr>
      <w:r>
        <w:t>FIN-001 through FIN-016  |  P1–P3</w:t>
      </w:r>
    </w:p>
    <w:p>
      <w:r>
        <w:t>Chart of accounts, balanced journals, periods, invoices, bills, payments, bank reconciliation, reports, tax, currencies, locks, fixed assets, budgets, forecasting, consolidation and treasury.</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7. Procurement</w:t>
      </w:r>
    </w:p>
    <w:p>
      <w:pPr>
        <w:pStyle w:val="Heading2"/>
      </w:pPr>
      <w:r>
        <w:t>PRC-001 through PRC-012  |  P1–P3</w:t>
      </w:r>
    </w:p>
    <w:p>
      <w:r>
        <w:t>Suppliers, requisitions, RFQs, purchase orders, goods receipts, returns, three-way matching, supplier balances, performance, contracts, reorder and supplier portal.</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8. Inventory and warehousing</w:t>
      </w:r>
    </w:p>
    <w:p>
      <w:pPr>
        <w:pStyle w:val="Heading2"/>
      </w:pPr>
      <w:r>
        <w:t>INV-001 through INV-014  |  P1–P3</w:t>
      </w:r>
    </w:p>
    <w:p>
      <w:r>
        <w:t>Catalog, warehouses, stock movements, availability, reservations, immutable ledger, counts, valuation, lots, serials, barcodes, replenishment, FEFO, landed costs and picking.</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9. Manufacturing</w:t>
      </w:r>
    </w:p>
    <w:p>
      <w:pPr>
        <w:pStyle w:val="Heading2"/>
      </w:pPr>
      <w:r>
        <w:t>MFG-001 through MFG-012  |  P2–P3</w:t>
      </w:r>
    </w:p>
    <w:p>
      <w:r>
        <w:t>BOMs, routings, work centers, production orders, consumption, outputs, costing, work orders, MRP, quality, maintenance, capacity and IoT.</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10. HR and payroll</w:t>
      </w:r>
    </w:p>
    <w:p>
      <w:pPr>
        <w:pStyle w:val="Heading2"/>
      </w:pPr>
      <w:r>
        <w:t>HRM-001 through HRM-013  |  P1–P3</w:t>
      </w:r>
    </w:p>
    <w:p>
      <w:r>
        <w:t>Employee records, organization, attendance, leave, onboarding, self-service, recruitment, salary structures, payroll, overtime, expenses, performance and workforce analytics.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11. Projects and field service</w:t>
      </w:r>
    </w:p>
    <w:p>
      <w:pPr>
        <w:pStyle w:val="Heading2"/>
      </w:pPr>
      <w:r>
        <w:t>PRJ-001 through PRJ-011  |  P1–P2</w:t>
      </w:r>
    </w:p>
    <w:p>
      <w:r>
        <w:t>Projects, tasks, Kanban, timesheets, budgets, sales linkage, Gantt, resource planning, field jobs, service reports and profitability.</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12. Commerce and subscriptions</w:t>
      </w:r>
    </w:p>
    <w:p>
      <w:pPr>
        <w:pStyle w:val="Heading2"/>
      </w:pPr>
      <w:r>
        <w:t>POS-001 through POS-006  |  P2–P3</w:t>
      </w:r>
    </w:p>
    <w:p>
      <w:r>
        <w:t>Retail registers, payment capture, offline controls, loyalty and POS operations.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ECM-001 through ECM-005  |  P2–P3</w:t>
      </w:r>
    </w:p>
    <w:p>
      <w:r>
        <w:t>Storefront, checkout, payment gateways, order tracking and multistore.</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SUB-001 through SUB-004  |  P2–P3</w:t>
      </w:r>
    </w:p>
    <w:p>
      <w:r>
        <w:t>Subscriptions, recurring billing, lifecycle management and usage-based billing.</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13. Marketing</w:t>
      </w:r>
    </w:p>
    <w:p>
      <w:pPr>
        <w:pStyle w:val="Heading2"/>
      </w:pPr>
      <w:r>
        <w:t>MKT-001 through MKT-008  |  P1–P3</w:t>
      </w:r>
    </w:p>
    <w:p>
      <w:r>
        <w:t>Segmentation, email and messaging campaigns, consent, journeys, analytics, landing pages, A/B testing and AI marketing assistance.</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14. Helpdesk and portals</w:t>
      </w:r>
    </w:p>
    <w:p>
      <w:pPr>
        <w:pStyle w:val="Heading2"/>
      </w:pPr>
      <w:r>
        <w:t>HLP-001 through HLP-008  |  P1–P2</w:t>
      </w:r>
    </w:p>
    <w:p>
      <w:r>
        <w:t>Tickets, queues, SLAs, omnichannel intake, knowledge base, surveys and AI support.</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POR-001 through POR-006  |  P1–P2</w:t>
      </w:r>
    </w:p>
    <w:p>
      <w:r>
        <w:t>Customer and supplier self-service portals with strict external access scope.</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15. Document management</w:t>
      </w:r>
    </w:p>
    <w:p>
      <w:pPr>
        <w:pStyle w:val="Heading2"/>
      </w:pPr>
      <w:r>
        <w:t>DMS-001 through DMS-010  |  P1–P3</w:t>
      </w:r>
    </w:p>
    <w:p>
      <w:r>
        <w:t>Files, links, access controls, versions, OCR, extraction, approvals, signatures, contracts and retention.</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16. Logistics, fleet, rental and assets</w:t>
      </w:r>
    </w:p>
    <w:p>
      <w:pPr>
        <w:pStyle w:val="Heading2"/>
      </w:pPr>
      <w:r>
        <w:t>LOG-001 through LOG-004  |  P2–P3</w:t>
      </w:r>
    </w:p>
    <w:p>
      <w:r>
        <w:t>Logistics and delivery workflows.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FLT-001 through FLT-003  |  P2–P3</w:t>
      </w:r>
    </w:p>
    <w:p>
      <w:r>
        <w:t>Fleet operations and maintenance.</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RNT-001 through RNT-003  |  P2–P3</w:t>
      </w:r>
    </w:p>
    <w:p>
      <w:r>
        <w:t>Rental agreements, availability and billing.</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AST-001 through AST-002  |  P2–P3</w:t>
      </w:r>
    </w:p>
    <w:p>
      <w:r>
        <w:t>Asset management capabilities.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17. Analytics and reporting</w:t>
      </w:r>
    </w:p>
    <w:p>
      <w:pPr>
        <w:pStyle w:val="Heading2"/>
      </w:pPr>
      <w:r>
        <w:t>BI-001 through BI-010  |  P0–P3</w:t>
      </w:r>
    </w:p>
    <w:p>
      <w:r>
        <w:t>CRM and sales dashboard, exports, financial and inventory reports, scheduling, KPIs, pivots, cross-module analytics, natural-language reporting and forecasting.</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18. Infovish Intelligence AI</w:t>
      </w:r>
    </w:p>
    <w:p>
      <w:pPr>
        <w:pStyle w:val="Heading2"/>
      </w:pPr>
      <w:r>
        <w:t>AI-001 through AI-015  |  P2–P3</w:t>
      </w:r>
    </w:p>
    <w:p>
      <w:r>
        <w:t>Tenant-aware orchestration, providers, authorized retrieval/tools, logs, approvals, OCR, CRM summaries, drafts, grounded analytics, budgets, forecasts, anomalies, workflows, voice and evaluation.</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19. Communications</w:t>
      </w:r>
    </w:p>
    <w:p>
      <w:pPr>
        <w:pStyle w:val="Heading2"/>
      </w:pPr>
      <w:r>
        <w:t>COM-001 through COM-013  |  P1–P3</w:t>
      </w:r>
    </w:p>
    <w:p>
      <w:r>
        <w:t>Notifications, email, templates, official WhatsApp accounts, signed webhooks, consent, CRM linking, shared inbox, mailbox sync, delivery tracking and AI support.</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20. Automation and Studio</w:t>
      </w:r>
    </w:p>
    <w:p>
      <w:pPr>
        <w:pStyle w:val="Heading2"/>
      </w:pPr>
      <w:r>
        <w:t>AUT-001 through AUT-008  |  P1–P3</w:t>
      </w:r>
    </w:p>
    <w:p>
      <w:r>
        <w:t>Events, approvals, triggers, conditions, actions, retries, execution history and visual workflow builder.</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STU-001 through STU-006  |  P2–P3</w:t>
      </w:r>
    </w:p>
    <w:p>
      <w:r>
        <w:t>Custom fields, forms, dashboards, custom objects, packages and upgrade compatibility.</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21. Industry extensions</w:t>
      </w:r>
    </w:p>
    <w:p>
      <w:pPr>
        <w:pStyle w:val="Heading2"/>
      </w:pPr>
      <w:r>
        <w:t>IND-001 through IND-010  |  P3</w:t>
      </w:r>
    </w:p>
    <w:p>
      <w:r>
        <w:t>Real estate, hospitality, automotive, agriculture, construction, education, healthcare, distribution, professional services and nonprofit packs.</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22. APIs and cloud</w:t>
      </w:r>
    </w:p>
    <w:p>
      <w:pPr>
        <w:pStyle w:val="Heading2"/>
      </w:pPr>
      <w:r>
        <w:t>API-001 through API-010  |  P0–P3</w:t>
      </w:r>
    </w:p>
    <w:p>
      <w:r>
        <w:t>Versioned REST, standardized errors, authentication, OpenAPI, webhooks, idempotency, rate limiting, OAuth, import/export and developer portal.</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2"/>
      </w:pPr>
      <w:r>
        <w:t>CLD-001 through CLD-012  |  P0–P3</w:t>
      </w:r>
    </w:p>
    <w:p>
      <w:r>
        <w:t>Provisioning, secrets, migrations, backups, entitlements, metering, domains, monitoring, billing, quotas, dedicated and regional hosting.</w:t>
      </w:r>
    </w:p>
    <w:p>
      <w:r>
        <w:t>Acceptance baseline: authorized users can perform each implemented capability under documented validation and lifecycle rules; data is tenant-scoped, audited where required, and covered by repeatable tests. Detailed per-requirement scenarios must be refined before implementation.</w:t>
      </w:r>
    </w:p>
    <w:p>
      <w:pPr>
        <w:pStyle w:val="Heading1"/>
      </w:pPr>
      <w:r>
        <w:t>23. Cross-cutting business rules and acceptance criteria</w:t>
      </w:r>
    </w:p>
    <w:p>
      <w:pPr>
        <w:pStyle w:val="ListBullet"/>
      </w:pPr>
      <w:r>
        <w:t>BR-TEN-01–04: Every request/job must use verified tenant context; cross-tenant data access is forbidden; lifecycle actions must preserve data and traceability.</w:t>
      </w:r>
    </w:p>
    <w:p>
      <w:pPr>
        <w:pStyle w:val="ListBullet"/>
      </w:pPr>
      <w:r>
        <w:t>BR-CRM-01–04: Lead ownership, conversion, duplicate handling and stage changes must be permission-checked and auditable.</w:t>
      </w:r>
    </w:p>
    <w:p>
      <w:pPr>
        <w:pStyle w:val="ListBullet"/>
      </w:pPr>
      <w:r>
        <w:t>BR-FIN-01–06: Every posted journal balances; posted entries are not silently edited; corrections use reversals; locked periods reject unauthorized changes; decimal precision and local rules apply.</w:t>
      </w:r>
    </w:p>
    <w:p>
      <w:pPr>
        <w:pStyle w:val="ListBullet"/>
      </w:pPr>
      <w:r>
        <w:t>BR-AI-01–06: AI cannot bypass authorization; external model sharing follows policy; high-impact writes require approval; estimates are labeled; retrieved content is untrusted; failures degrade gracefully.</w:t>
      </w:r>
    </w:p>
    <w:p>
      <w:pPr>
        <w:pStyle w:val="ListBullet"/>
      </w:pPr>
      <w:r>
        <w:t>BR-INV: Stock movements are atomic; reservation and availability checks prevent overselling; immutable movement history is preserved.</w:t>
      </w:r>
    </w:p>
    <w:p>
      <w:pPr>
        <w:pStyle w:val="ListBullet"/>
      </w:pPr>
      <w:r>
        <w:t>BR-COM: Webhooks are authenticated and idempotent; credentials are encrypted and tenant-scoped; consent and provider messaging restrictions are enforced.</w:t>
      </w:r>
    </w:p>
    <w:p>
      <w:r>
        <w:t>Representative acceptance tests: AC-TEN-01–04 verify provisioning and isolation; AC-CRM-01–04 verify lifecycle and conversion; AC-FIN-01–06 verify balancing, reconciliation, period locks and reporting; AC-AI-01–05 verify permission scoping, approval, prompt-injection resilience and provider failure handling.</w:t>
      </w:r>
    </w:p>
    <w:p>
      <w:pPr>
        <w:pStyle w:val="Heading1"/>
      </w:pPr>
      <w:r>
        <w:t>24. Non-functional requirements</w:t>
      </w:r>
    </w:p>
    <w:p>
      <w:pPr>
        <w:pStyle w:val="ListBullet"/>
      </w:pPr>
      <w:r>
        <w:t>NFR-001: Tenant isolation and least privilege.</w:t>
      </w:r>
    </w:p>
    <w:p>
      <w:pPr>
        <w:pStyle w:val="ListBullet"/>
      </w:pPr>
      <w:r>
        <w:t>NFR-002: Transactional consistency.</w:t>
      </w:r>
    </w:p>
    <w:p>
      <w:pPr>
        <w:pStyle w:val="ListBullet"/>
      </w:pPr>
      <w:r>
        <w:t>NFR-003: Versioned, documented APIs.</w:t>
      </w:r>
    </w:p>
    <w:p>
      <w:pPr>
        <w:pStyle w:val="ListBullet"/>
      </w:pPr>
      <w:r>
        <w:t>NFR-004: Secrets and encryption controls.</w:t>
      </w:r>
    </w:p>
    <w:p>
      <w:pPr>
        <w:pStyle w:val="ListBullet"/>
      </w:pPr>
      <w:r>
        <w:t>NFR-005: CI and dependency scanning.</w:t>
      </w:r>
    </w:p>
    <w:p>
      <w:pPr>
        <w:pStyle w:val="ListBullet"/>
      </w:pPr>
      <w:r>
        <w:t>NFR-006: Safe database migrations.</w:t>
      </w:r>
    </w:p>
    <w:p>
      <w:pPr>
        <w:pStyle w:val="ListBullet"/>
      </w:pPr>
      <w:r>
        <w:t>NFR-007: Structured logs and auditability.</w:t>
      </w:r>
    </w:p>
    <w:p>
      <w:pPr>
        <w:pStyle w:val="ListBullet"/>
      </w:pPr>
      <w:r>
        <w:t>NFR-008: Recoverable backups.</w:t>
      </w:r>
    </w:p>
    <w:p>
      <w:pPr>
        <w:pStyle w:val="ListBullet"/>
      </w:pPr>
      <w:r>
        <w:t>NFR-009: Decimal monetary precision.</w:t>
      </w:r>
    </w:p>
    <w:p>
      <w:pPr>
        <w:pStyle w:val="ListBullet"/>
      </w:pPr>
      <w:r>
        <w:t>NFR-010: Provisional 99.9% managed SaaS monthly availability.</w:t>
      </w:r>
    </w:p>
    <w:p>
      <w:pPr>
        <w:pStyle w:val="ListBullet"/>
      </w:pPr>
      <w:r>
        <w:t>NFR-011: Provisional p95 under 500 ms for selected read endpoints at defined workload.</w:t>
      </w:r>
    </w:p>
    <w:p>
      <w:pPr>
        <w:pStyle w:val="ListBullet"/>
      </w:pPr>
      <w:r>
        <w:t>NFR-012: Horizontal scale and workload isolation.</w:t>
      </w:r>
    </w:p>
    <w:p>
      <w:pPr>
        <w:pStyle w:val="ListBullet"/>
      </w:pPr>
      <w:r>
        <w:t>NFR-013: Idempotent operations.</w:t>
      </w:r>
    </w:p>
    <w:p>
      <w:pPr>
        <w:pStyle w:val="ListBullet"/>
      </w:pPr>
      <w:r>
        <w:t>NFR-014: Metrics and distributed tracing.</w:t>
      </w:r>
    </w:p>
    <w:p>
      <w:pPr>
        <w:pStyle w:val="ListBullet"/>
      </w:pPr>
      <w:r>
        <w:t>NFR-015: WCAG 2.2 AA target.</w:t>
      </w:r>
    </w:p>
    <w:p>
      <w:pPr>
        <w:pStyle w:val="ListBullet"/>
      </w:pPr>
      <w:r>
        <w:t>NFR-016: Localization and timezone handling.</w:t>
      </w:r>
    </w:p>
    <w:p>
      <w:pPr>
        <w:pStyle w:val="ListBullet"/>
      </w:pPr>
      <w:r>
        <w:t>NFR-017: Provisional RPO 1 hour for qualifying tiers.</w:t>
      </w:r>
    </w:p>
    <w:p>
      <w:pPr>
        <w:pStyle w:val="ListBullet"/>
      </w:pPr>
      <w:r>
        <w:t>NFR-018: Provisional RTO 4 hours for qualifying tiers.</w:t>
      </w:r>
    </w:p>
    <w:p>
      <w:pPr>
        <w:pStyle w:val="ListBullet"/>
      </w:pPr>
      <w:r>
        <w:t>NFR-019: Retention and privacy governance.</w:t>
      </w:r>
    </w:p>
    <w:p>
      <w:pPr>
        <w:pStyle w:val="ListBullet"/>
      </w:pPr>
      <w:r>
        <w:t>NFR-020: Enterprise identity and deployment controls.</w:t>
      </w:r>
    </w:p>
    <w:p>
      <w:r>
        <w:t>Performance and recovery targets are provisional engineering objectives, not contractual guarantees. Production readiness requires measured load testing, scoped security assessment and successful restoration drills.</w:t>
      </w:r>
    </w:p>
    <w:p>
      <w:pPr>
        <w:pStyle w:val="Heading1"/>
      </w:pPr>
      <w:r>
        <w:t>25. Feature parity framework</w:t>
      </w:r>
    </w:p>
    <w:p>
      <w:r>
        <w:t>Compare Infovish capabilities with the applicable versions and editions of Odoo and Flectra. Do not imply competitor availability without documented verification.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Infovish priority</w:t>
            </w:r>
          </w:p>
        </w:tc>
        <w:tc>
          <w:tcPr>
            <w:tcW w:type="dxa" w:w="2160"/>
          </w:tcPr>
          <w:p>
            <w:r>
              <w:t>Odoo</w:t>
            </w:r>
          </w:p>
        </w:tc>
        <w:tc>
          <w:tcPr>
            <w:tcW w:type="dxa" w:w="2160"/>
          </w:tcPr>
          <w:p>
            <w:r>
              <w:t>Flectra</w:t>
            </w:r>
          </w:p>
        </w:tc>
      </w:tr>
      <w:tr>
        <w:tc>
          <w:tcPr>
            <w:tcW w:type="dxa" w:w="2160"/>
          </w:tcPr>
          <w:p>
            <w:r>
              <w:t>CRM</w:t>
            </w:r>
          </w:p>
        </w:tc>
        <w:tc>
          <w:tcPr>
            <w:tcW w:type="dxa" w:w="2160"/>
          </w:tcPr>
          <w:p>
            <w:r>
              <w:t>P0</w:t>
            </w:r>
          </w:p>
        </w:tc>
        <w:tc>
          <w:tcPr>
            <w:tcW w:type="dxa" w:w="2160"/>
          </w:tcPr>
          <w:p>
            <w:r>
              <w:t>Compare applicable edition</w:t>
            </w:r>
          </w:p>
        </w:tc>
        <w:tc>
          <w:tcPr>
            <w:tcW w:type="dxa" w:w="2160"/>
          </w:tcPr>
          <w:p>
            <w:r>
              <w:t>Compare applicable edition</w:t>
            </w:r>
          </w:p>
        </w:tc>
      </w:tr>
      <w:tr>
        <w:tc>
          <w:tcPr>
            <w:tcW w:type="dxa" w:w="2160"/>
          </w:tcPr>
          <w:p>
            <w:r>
              <w:t>Sales</w:t>
            </w:r>
          </w:p>
        </w:tc>
        <w:tc>
          <w:tcPr>
            <w:tcW w:type="dxa" w:w="2160"/>
          </w:tcPr>
          <w:p>
            <w:r>
              <w:t>P0</w:t>
            </w:r>
          </w:p>
        </w:tc>
        <w:tc>
          <w:tcPr>
            <w:tcW w:type="dxa" w:w="2160"/>
          </w:tcPr>
          <w:p>
            <w:r>
              <w:t>Compare applicable edition</w:t>
            </w:r>
          </w:p>
        </w:tc>
        <w:tc>
          <w:tcPr>
            <w:tcW w:type="dxa" w:w="2160"/>
          </w:tcPr>
          <w:p>
            <w:r>
              <w:t>Compare applicable edition</w:t>
            </w:r>
          </w:p>
        </w:tc>
      </w:tr>
      <w:tr>
        <w:tc>
          <w:tcPr>
            <w:tcW w:type="dxa" w:w="2160"/>
          </w:tcPr>
          <w:p>
            <w:r>
              <w:t>Accounting</w:t>
            </w:r>
          </w:p>
        </w:tc>
        <w:tc>
          <w:tcPr>
            <w:tcW w:type="dxa" w:w="2160"/>
          </w:tcPr>
          <w:p>
            <w:r>
              <w:t>P1</w:t>
            </w:r>
          </w:p>
        </w:tc>
        <w:tc>
          <w:tcPr>
            <w:tcW w:type="dxa" w:w="2160"/>
          </w:tcPr>
          <w:p>
            <w:r>
              <w:t>Compare applicable edition</w:t>
            </w:r>
          </w:p>
        </w:tc>
        <w:tc>
          <w:tcPr>
            <w:tcW w:type="dxa" w:w="2160"/>
          </w:tcPr>
          <w:p>
            <w:r>
              <w:t>Compare applicable edition</w:t>
            </w:r>
          </w:p>
        </w:tc>
      </w:tr>
      <w:tr>
        <w:tc>
          <w:tcPr>
            <w:tcW w:type="dxa" w:w="2160"/>
          </w:tcPr>
          <w:p>
            <w:r>
              <w:t>Inventory</w:t>
            </w:r>
          </w:p>
        </w:tc>
        <w:tc>
          <w:tcPr>
            <w:tcW w:type="dxa" w:w="2160"/>
          </w:tcPr>
          <w:p>
            <w:r>
              <w:t>P1</w:t>
            </w:r>
          </w:p>
        </w:tc>
        <w:tc>
          <w:tcPr>
            <w:tcW w:type="dxa" w:w="2160"/>
          </w:tcPr>
          <w:p>
            <w:r>
              <w:t>Compare applicable edition</w:t>
            </w:r>
          </w:p>
        </w:tc>
        <w:tc>
          <w:tcPr>
            <w:tcW w:type="dxa" w:w="2160"/>
          </w:tcPr>
          <w:p>
            <w:r>
              <w:t>Compare applicable edition</w:t>
            </w:r>
          </w:p>
        </w:tc>
      </w:tr>
      <w:tr>
        <w:tc>
          <w:tcPr>
            <w:tcW w:type="dxa" w:w="2160"/>
          </w:tcPr>
          <w:p>
            <w:r>
              <w:t>Purchase</w:t>
            </w:r>
          </w:p>
        </w:tc>
        <w:tc>
          <w:tcPr>
            <w:tcW w:type="dxa" w:w="2160"/>
          </w:tcPr>
          <w:p>
            <w:r>
              <w:t>P1</w:t>
            </w:r>
          </w:p>
        </w:tc>
        <w:tc>
          <w:tcPr>
            <w:tcW w:type="dxa" w:w="2160"/>
          </w:tcPr>
          <w:p>
            <w:r>
              <w:t>Compare applicable edition</w:t>
            </w:r>
          </w:p>
        </w:tc>
        <w:tc>
          <w:tcPr>
            <w:tcW w:type="dxa" w:w="2160"/>
          </w:tcPr>
          <w:p>
            <w:r>
              <w:t>Compare applicable edition</w:t>
            </w:r>
          </w:p>
        </w:tc>
      </w:tr>
      <w:tr>
        <w:tc>
          <w:tcPr>
            <w:tcW w:type="dxa" w:w="2160"/>
          </w:tcPr>
          <w:p>
            <w:r>
              <w:t>Manufacturing</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Employees/Payroll</w:t>
            </w:r>
          </w:p>
        </w:tc>
        <w:tc>
          <w:tcPr>
            <w:tcW w:type="dxa" w:w="2160"/>
          </w:tcPr>
          <w:p>
            <w:r>
              <w:t>P1–P2</w:t>
            </w:r>
          </w:p>
        </w:tc>
        <w:tc>
          <w:tcPr>
            <w:tcW w:type="dxa" w:w="2160"/>
          </w:tcPr>
          <w:p>
            <w:r>
              <w:t>Compare applicable edition</w:t>
            </w:r>
          </w:p>
        </w:tc>
        <w:tc>
          <w:tcPr>
            <w:tcW w:type="dxa" w:w="2160"/>
          </w:tcPr>
          <w:p>
            <w:r>
              <w:t>Compare applicable edition</w:t>
            </w:r>
          </w:p>
        </w:tc>
      </w:tr>
      <w:tr>
        <w:tc>
          <w:tcPr>
            <w:tcW w:type="dxa" w:w="2160"/>
          </w:tcPr>
          <w:p>
            <w:r>
              <w:t>Projects</w:t>
            </w:r>
          </w:p>
        </w:tc>
        <w:tc>
          <w:tcPr>
            <w:tcW w:type="dxa" w:w="2160"/>
          </w:tcPr>
          <w:p>
            <w:r>
              <w:t>P1</w:t>
            </w:r>
          </w:p>
        </w:tc>
        <w:tc>
          <w:tcPr>
            <w:tcW w:type="dxa" w:w="2160"/>
          </w:tcPr>
          <w:p>
            <w:r>
              <w:t>Compare applicable edition</w:t>
            </w:r>
          </w:p>
        </w:tc>
        <w:tc>
          <w:tcPr>
            <w:tcW w:type="dxa" w:w="2160"/>
          </w:tcPr>
          <w:p>
            <w:r>
              <w:t>Compare applicable edition</w:t>
            </w:r>
          </w:p>
        </w:tc>
      </w:tr>
      <w:tr>
        <w:tc>
          <w:tcPr>
            <w:tcW w:type="dxa" w:w="2160"/>
          </w:tcPr>
          <w:p>
            <w:r>
              <w:t>POS</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E-commerce</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Marketing</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Helpdesk</w:t>
            </w:r>
          </w:p>
        </w:tc>
        <w:tc>
          <w:tcPr>
            <w:tcW w:type="dxa" w:w="2160"/>
          </w:tcPr>
          <w:p>
            <w:r>
              <w:t>P1</w:t>
            </w:r>
          </w:p>
        </w:tc>
        <w:tc>
          <w:tcPr>
            <w:tcW w:type="dxa" w:w="2160"/>
          </w:tcPr>
          <w:p>
            <w:r>
              <w:t>Compare applicable edition</w:t>
            </w:r>
          </w:p>
        </w:tc>
        <w:tc>
          <w:tcPr>
            <w:tcW w:type="dxa" w:w="2160"/>
          </w:tcPr>
          <w:p>
            <w:r>
              <w:t>Compare applicable edition</w:t>
            </w:r>
          </w:p>
        </w:tc>
      </w:tr>
      <w:tr>
        <w:tc>
          <w:tcPr>
            <w:tcW w:type="dxa" w:w="2160"/>
          </w:tcPr>
          <w:p>
            <w:r>
              <w:t>Documents</w:t>
            </w:r>
          </w:p>
        </w:tc>
        <w:tc>
          <w:tcPr>
            <w:tcW w:type="dxa" w:w="2160"/>
          </w:tcPr>
          <w:p>
            <w:r>
              <w:t>P1</w:t>
            </w:r>
          </w:p>
        </w:tc>
        <w:tc>
          <w:tcPr>
            <w:tcW w:type="dxa" w:w="2160"/>
          </w:tcPr>
          <w:p>
            <w:r>
              <w:t>Compare applicable edition</w:t>
            </w:r>
          </w:p>
        </w:tc>
        <w:tc>
          <w:tcPr>
            <w:tcW w:type="dxa" w:w="2160"/>
          </w:tcPr>
          <w:p>
            <w:r>
              <w:t>Compare applicable edition</w:t>
            </w:r>
          </w:p>
        </w:tc>
      </w:tr>
      <w:tr>
        <w:tc>
          <w:tcPr>
            <w:tcW w:type="dxa" w:w="2160"/>
          </w:tcPr>
          <w:p>
            <w:r>
              <w:t>Subscriptions</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Rental/Fleet</w:t>
            </w:r>
          </w:p>
        </w:tc>
        <w:tc>
          <w:tcPr>
            <w:tcW w:type="dxa" w:w="2160"/>
          </w:tcPr>
          <w:p>
            <w:r>
              <w:t>P2–P3</w:t>
            </w:r>
          </w:p>
        </w:tc>
        <w:tc>
          <w:tcPr>
            <w:tcW w:type="dxa" w:w="2160"/>
          </w:tcPr>
          <w:p>
            <w:r>
              <w:t>Compare applicable edition</w:t>
            </w:r>
          </w:p>
        </w:tc>
        <w:tc>
          <w:tcPr>
            <w:tcW w:type="dxa" w:w="2160"/>
          </w:tcPr>
          <w:p>
            <w:r>
              <w:t>Compare applicable edition</w:t>
            </w:r>
          </w:p>
        </w:tc>
      </w:tr>
      <w:tr>
        <w:tc>
          <w:tcPr>
            <w:tcW w:type="dxa" w:w="2160"/>
          </w:tcPr>
          <w:p>
            <w:r>
              <w:t>Studio</w:t>
            </w:r>
          </w:p>
        </w:tc>
        <w:tc>
          <w:tcPr>
            <w:tcW w:type="dxa" w:w="2160"/>
          </w:tcPr>
          <w:p>
            <w:r>
              <w:t>P3</w:t>
            </w:r>
          </w:p>
        </w:tc>
        <w:tc>
          <w:tcPr>
            <w:tcW w:type="dxa" w:w="2160"/>
          </w:tcPr>
          <w:p>
            <w:r>
              <w:t>Compare applicable edition</w:t>
            </w:r>
          </w:p>
        </w:tc>
        <w:tc>
          <w:tcPr>
            <w:tcW w:type="dxa" w:w="2160"/>
          </w:tcPr>
          <w:p>
            <w:r>
              <w:t>Compare applicable edition</w:t>
            </w:r>
          </w:p>
        </w:tc>
      </w:tr>
      <w:tr>
        <w:tc>
          <w:tcPr>
            <w:tcW w:type="dxa" w:w="2160"/>
          </w:tcPr>
          <w:p>
            <w:r>
              <w:t>Multi-company</w:t>
            </w:r>
          </w:p>
        </w:tc>
        <w:tc>
          <w:tcPr>
            <w:tcW w:type="dxa" w:w="2160"/>
          </w:tcPr>
          <w:p>
            <w:r>
              <w:t>P0</w:t>
            </w:r>
          </w:p>
        </w:tc>
        <w:tc>
          <w:tcPr>
            <w:tcW w:type="dxa" w:w="2160"/>
          </w:tcPr>
          <w:p>
            <w:r>
              <w:t>Compare applicable edition</w:t>
            </w:r>
          </w:p>
        </w:tc>
        <w:tc>
          <w:tcPr>
            <w:tcW w:type="dxa" w:w="2160"/>
          </w:tcPr>
          <w:p>
            <w:r>
              <w:t>Compare applicable edition</w:t>
            </w:r>
          </w:p>
        </w:tc>
      </w:tr>
      <w:tr>
        <w:tc>
          <w:tcPr>
            <w:tcW w:type="dxa" w:w="2160"/>
          </w:tcPr>
          <w:p>
            <w:r>
              <w:t>AI</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WhatsApp</w:t>
            </w:r>
          </w:p>
        </w:tc>
        <w:tc>
          <w:tcPr>
            <w:tcW w:type="dxa" w:w="2160"/>
          </w:tcPr>
          <w:p>
            <w:r>
              <w:t>P2</w:t>
            </w:r>
          </w:p>
        </w:tc>
        <w:tc>
          <w:tcPr>
            <w:tcW w:type="dxa" w:w="2160"/>
          </w:tcPr>
          <w:p>
            <w:r>
              <w:t>Compare applicable edition</w:t>
            </w:r>
          </w:p>
        </w:tc>
        <w:tc>
          <w:tcPr>
            <w:tcW w:type="dxa" w:w="2160"/>
          </w:tcPr>
          <w:p>
            <w:r>
              <w:t>Compare applicable edition</w:t>
            </w:r>
          </w:p>
        </w:tc>
      </w:tr>
      <w:tr>
        <w:tc>
          <w:tcPr>
            <w:tcW w:type="dxa" w:w="2160"/>
          </w:tcPr>
          <w:p>
            <w:r>
              <w:t>Cloud</w:t>
            </w:r>
          </w:p>
        </w:tc>
        <w:tc>
          <w:tcPr>
            <w:tcW w:type="dxa" w:w="2160"/>
          </w:tcPr>
          <w:p>
            <w:r>
              <w:t>P0</w:t>
            </w:r>
          </w:p>
        </w:tc>
        <w:tc>
          <w:tcPr>
            <w:tcW w:type="dxa" w:w="2160"/>
          </w:tcPr>
          <w:p>
            <w:r>
              <w:t>Compare applicable edition</w:t>
            </w:r>
          </w:p>
        </w:tc>
        <w:tc>
          <w:tcPr>
            <w:tcW w:type="dxa" w:w="2160"/>
          </w:tcPr>
          <w:p>
            <w:r>
              <w:t>Compare applicable edition</w:t>
            </w:r>
          </w:p>
        </w:tc>
      </w:tr>
    </w:tbl>
    <w:p>
      <w:r>
        <w:t>Parity register fields: feature_id, reference_product, reference_version, reference_edition, reference_module, reference_capability, reference_documentation, infovish_requirement_ids, implementation_status, test_evidence, known_gaps, license_obligations and review_date. Levels L0 Not Assessed through L5 Production Validated.</w:t>
      </w:r>
    </w:p>
    <w:p>
      <w:pPr>
        <w:pStyle w:val="Heading1"/>
      </w:pPr>
      <w:r>
        <w:t>26. Module dependencies and integration contracts</w:t>
      </w:r>
    </w:p>
    <w:p>
      <w:r>
        <w:t>Foundation (tenancy, IAM, organization, audit, module registry) precedes contacts/catalog, CRM, documents and event services; these support sales, finance, inventory, procurement, HR and projects; downstream capabilities include manufacturing, POS, commerce, subscriptions, helpdesk, logistics and industry packs. AI, BI, communications and automation span domains through governed contracts.</w:t>
      </w:r>
    </w:p>
    <w:p>
      <w:pPr>
        <w:pStyle w:val="ListBullet"/>
      </w:pPr>
      <w:r>
        <w:t>DEP-001: No direct queries against another module’s private tables.</w:t>
      </w:r>
    </w:p>
    <w:p>
      <w:pPr>
        <w:pStyle w:val="ListBullet"/>
      </w:pPr>
      <w:r>
        <w:t>DEP-002: Contract-driven cross-module interactions.</w:t>
      </w:r>
    </w:p>
    <w:p>
      <w:pPr>
        <w:pStyle w:val="ListBullet"/>
      </w:pPr>
      <w:r>
        <w:t>DEP-003: Idempotent event consumers.</w:t>
      </w:r>
    </w:p>
    <w:p>
      <w:pPr>
        <w:pStyle w:val="ListBullet"/>
      </w:pPr>
      <w:r>
        <w:t>DEP-004: Explicit transactional boundaries.</w:t>
      </w:r>
    </w:p>
    <w:p>
      <w:pPr>
        <w:pStyle w:val="ListBullet"/>
      </w:pPr>
      <w:r>
        <w:t>DEP-005: Compatible schema and contract migrations.</w:t>
      </w:r>
    </w:p>
    <w:p>
      <w:pPr>
        <w:pStyle w:val="ListBullet"/>
      </w:pPr>
      <w:r>
        <w:t>DEP-006: Permission-scoped AI tool execution.</w:t>
      </w:r>
    </w:p>
    <w:p>
      <w:pPr>
        <w:pStyle w:val="ListBullet"/>
      </w:pPr>
      <w:r>
        <w:t>DEP-007: Versioned integration events.</w:t>
      </w:r>
    </w:p>
    <w:p>
      <w:pPr>
        <w:pStyle w:val="ListBullet"/>
      </w:pPr>
      <w:r>
        <w:t>DEP-008: Observability across integration boundaries.</w:t>
      </w:r>
    </w:p>
    <w:p>
      <w:pPr>
        <w:pStyle w:val="Heading1"/>
      </w:pPr>
      <w:r>
        <w:t>27. Codex implementation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Release</w:t>
            </w:r>
          </w:p>
        </w:tc>
        <w:tc>
          <w:tcPr>
            <w:tcW w:type="dxa" w:w="2160"/>
          </w:tcPr>
          <w:p>
            <w:r>
              <w:t>Scope</w:t>
            </w:r>
          </w:p>
        </w:tc>
        <w:tc>
          <w:tcPr>
            <w:tcW w:type="dxa" w:w="2160"/>
          </w:tcPr>
          <w:p>
            <w:r>
              <w:t>Exit gate</w:t>
            </w:r>
          </w:p>
        </w:tc>
      </w:tr>
      <w:tr>
        <w:tc>
          <w:tcPr>
            <w:tcW w:type="dxa" w:w="2160"/>
          </w:tcPr>
          <w:p>
            <w:r>
              <w:t>M00</w:t>
            </w:r>
          </w:p>
        </w:tc>
        <w:tc>
          <w:tcPr>
            <w:tcW w:type="dxa" w:w="2160"/>
          </w:tcPr>
          <w:p>
            <w:r>
              <w:t>R0</w:t>
            </w:r>
          </w:p>
        </w:tc>
        <w:tc>
          <w:tcPr>
            <w:tcW w:type="dxa" w:w="2160"/>
          </w:tcPr>
          <w:p>
            <w:r>
              <w:t>Architecture validation, PRD traceability, ADRs, domain/security review</w:t>
            </w:r>
          </w:p>
        </w:tc>
        <w:tc>
          <w:tcPr>
            <w:tcW w:type="dxa" w:w="2160"/>
          </w:tcPr>
          <w:p>
            <w:r>
              <w:t>Architecture decisions and risks documented</w:t>
            </w:r>
          </w:p>
        </w:tc>
      </w:tr>
      <w:tr>
        <w:tc>
          <w:tcPr>
            <w:tcW w:type="dxa" w:w="2160"/>
          </w:tcPr>
          <w:p>
            <w:r>
              <w:t>M01</w:t>
            </w:r>
          </w:p>
        </w:tc>
        <w:tc>
          <w:tcPr>
            <w:tcW w:type="dxa" w:w="2160"/>
          </w:tcPr>
          <w:p>
            <w:r>
              <w:t>R0</w:t>
            </w:r>
          </w:p>
        </w:tc>
        <w:tc>
          <w:tcPr>
            <w:tcW w:type="dxa" w:w="2160"/>
          </w:tcPr>
          <w:p>
            <w:r>
              <w:t>Monorepo, Laravel/React/TypeScript/PostgreSQL, Docker, CI, AGENTS.md</w:t>
            </w:r>
          </w:p>
        </w:tc>
        <w:tc>
          <w:tcPr>
            <w:tcW w:type="dxa" w:w="2160"/>
          </w:tcPr>
          <w:p>
            <w:r>
              <w:t>Reproducible build and tests</w:t>
            </w:r>
          </w:p>
        </w:tc>
      </w:tr>
      <w:tr>
        <w:tc>
          <w:tcPr>
            <w:tcW w:type="dxa" w:w="2160"/>
          </w:tcPr>
          <w:p>
            <w:r>
              <w:t>M02</w:t>
            </w:r>
          </w:p>
        </w:tc>
        <w:tc>
          <w:tcPr>
            <w:tcW w:type="dxa" w:w="2160"/>
          </w:tcPr>
          <w:p>
            <w:r>
              <w:t>R0</w:t>
            </w:r>
          </w:p>
        </w:tc>
        <w:tc>
          <w:tcPr>
            <w:tcW w:type="dxa" w:w="2160"/>
          </w:tcPr>
          <w:p>
            <w:r>
              <w:t>Tenant isolation, IAM, organization, audit</w:t>
            </w:r>
          </w:p>
        </w:tc>
        <w:tc>
          <w:tcPr>
            <w:tcW w:type="dxa" w:w="2160"/>
          </w:tcPr>
          <w:p>
            <w:r>
              <w:t>Tenant/security tests pass</w:t>
            </w:r>
          </w:p>
        </w:tc>
      </w:tr>
      <w:tr>
        <w:tc>
          <w:tcPr>
            <w:tcW w:type="dxa" w:w="2160"/>
          </w:tcPr>
          <w:p>
            <w:r>
              <w:t>M03</w:t>
            </w:r>
          </w:p>
        </w:tc>
        <w:tc>
          <w:tcPr>
            <w:tcW w:type="dxa" w:w="2160"/>
          </w:tcPr>
          <w:p>
            <w:r>
              <w:t>R0</w:t>
            </w:r>
          </w:p>
        </w:tc>
        <w:tc>
          <w:tcPr>
            <w:tcW w:type="dxa" w:w="2160"/>
          </w:tcPr>
          <w:p>
            <w:r>
              <w:t>Module framework, shared services, catalog and contacts</w:t>
            </w:r>
          </w:p>
        </w:tc>
        <w:tc>
          <w:tcPr>
            <w:tcW w:type="dxa" w:w="2160"/>
          </w:tcPr>
          <w:p>
            <w:r>
              <w:t>Module contracts verified</w:t>
            </w:r>
          </w:p>
        </w:tc>
      </w:tr>
      <w:tr>
        <w:tc>
          <w:tcPr>
            <w:tcW w:type="dxa" w:w="2160"/>
          </w:tcPr>
          <w:p>
            <w:r>
              <w:t>M04</w:t>
            </w:r>
          </w:p>
        </w:tc>
        <w:tc>
          <w:tcPr>
            <w:tcW w:type="dxa" w:w="2160"/>
          </w:tcPr>
          <w:p>
            <w:r>
              <w:t>R1</w:t>
            </w:r>
          </w:p>
        </w:tc>
        <w:tc>
          <w:tcPr>
            <w:tcW w:type="dxa" w:w="2160"/>
          </w:tcPr>
          <w:p>
            <w:r>
              <w:t>CRM</w:t>
            </w:r>
          </w:p>
        </w:tc>
        <w:tc>
          <w:tcPr>
            <w:tcW w:type="dxa" w:w="2160"/>
          </w:tcPr>
          <w:p>
            <w:r>
              <w:t>Lead lifecycle tests pass</w:t>
            </w:r>
          </w:p>
        </w:tc>
      </w:tr>
      <w:tr>
        <w:tc>
          <w:tcPr>
            <w:tcW w:type="dxa" w:w="2160"/>
          </w:tcPr>
          <w:p>
            <w:r>
              <w:t>M05</w:t>
            </w:r>
          </w:p>
        </w:tc>
        <w:tc>
          <w:tcPr>
            <w:tcW w:type="dxa" w:w="2160"/>
          </w:tcPr>
          <w:p>
            <w:r>
              <w:t>R1</w:t>
            </w:r>
          </w:p>
        </w:tc>
        <w:tc>
          <w:tcPr>
            <w:tcW w:type="dxa" w:w="2160"/>
          </w:tcPr>
          <w:p>
            <w:r>
              <w:t>Sales and first commercial release</w:t>
            </w:r>
          </w:p>
        </w:tc>
        <w:tc>
          <w:tcPr>
            <w:tcW w:type="dxa" w:w="2160"/>
          </w:tcPr>
          <w:p>
            <w:r>
              <w:t>Quote-to-order tests pass</w:t>
            </w:r>
          </w:p>
        </w:tc>
      </w:tr>
      <w:tr>
        <w:tc>
          <w:tcPr>
            <w:tcW w:type="dxa" w:w="2160"/>
          </w:tcPr>
          <w:p>
            <w:r>
              <w:t>M06</w:t>
            </w:r>
          </w:p>
        </w:tc>
        <w:tc>
          <w:tcPr>
            <w:tcW w:type="dxa" w:w="2160"/>
          </w:tcPr>
          <w:p>
            <w:r>
              <w:t>R2</w:t>
            </w:r>
          </w:p>
        </w:tc>
        <w:tc>
          <w:tcPr>
            <w:tcW w:type="dxa" w:w="2160"/>
          </w:tcPr>
          <w:p>
            <w:r>
              <w:t>Accounting</w:t>
            </w:r>
          </w:p>
        </w:tc>
        <w:tc>
          <w:tcPr>
            <w:tcW w:type="dxa" w:w="2160"/>
          </w:tcPr>
          <w:p>
            <w:r>
              <w:t>Journal and reconciliation invariants pass</w:t>
            </w:r>
          </w:p>
        </w:tc>
      </w:tr>
      <w:tr>
        <w:tc>
          <w:tcPr>
            <w:tcW w:type="dxa" w:w="2160"/>
          </w:tcPr>
          <w:p>
            <w:r>
              <w:t>M07</w:t>
            </w:r>
          </w:p>
        </w:tc>
        <w:tc>
          <w:tcPr>
            <w:tcW w:type="dxa" w:w="2160"/>
          </w:tcPr>
          <w:p>
            <w:r>
              <w:t>R2</w:t>
            </w:r>
          </w:p>
        </w:tc>
        <w:tc>
          <w:tcPr>
            <w:tcW w:type="dxa" w:w="2160"/>
          </w:tcPr>
          <w:p>
            <w:r>
              <w:t>Inventory and procurement</w:t>
            </w:r>
          </w:p>
        </w:tc>
        <w:tc>
          <w:tcPr>
            <w:tcW w:type="dxa" w:w="2160"/>
          </w:tcPr>
          <w:p>
            <w:r>
              <w:t>Stock and purchasing consistency pass</w:t>
            </w:r>
          </w:p>
        </w:tc>
      </w:tr>
      <w:tr>
        <w:tc>
          <w:tcPr>
            <w:tcW w:type="dxa" w:w="2160"/>
          </w:tcPr>
          <w:p>
            <w:r>
              <w:t>M08</w:t>
            </w:r>
          </w:p>
        </w:tc>
        <w:tc>
          <w:tcPr>
            <w:tcW w:type="dxa" w:w="2160"/>
          </w:tcPr>
          <w:p>
            <w:r>
              <w:t>R3</w:t>
            </w:r>
          </w:p>
        </w:tc>
        <w:tc>
          <w:tcPr>
            <w:tcW w:type="dxa" w:w="2160"/>
          </w:tcPr>
          <w:p>
            <w:r>
              <w:t>HR, projects, helpdesk, portals, documents</w:t>
            </w:r>
          </w:p>
        </w:tc>
        <w:tc>
          <w:tcPr>
            <w:tcW w:type="dxa" w:w="2160"/>
          </w:tcPr>
          <w:p>
            <w:r>
              <w:t>Cross-module workflows pass</w:t>
            </w:r>
          </w:p>
        </w:tc>
      </w:tr>
      <w:tr>
        <w:tc>
          <w:tcPr>
            <w:tcW w:type="dxa" w:w="2160"/>
          </w:tcPr>
          <w:p>
            <w:r>
              <w:t>M09</w:t>
            </w:r>
          </w:p>
        </w:tc>
        <w:tc>
          <w:tcPr>
            <w:tcW w:type="dxa" w:w="2160"/>
          </w:tcPr>
          <w:p>
            <w:r>
              <w:t>R3</w:t>
            </w:r>
          </w:p>
        </w:tc>
        <w:tc>
          <w:tcPr>
            <w:tcW w:type="dxa" w:w="2160"/>
          </w:tcPr>
          <w:p>
            <w:r>
              <w:t>Email, WhatsApp, inbox and automation</w:t>
            </w:r>
          </w:p>
        </w:tc>
        <w:tc>
          <w:tcPr>
            <w:tcW w:type="dxa" w:w="2160"/>
          </w:tcPr>
          <w:p>
            <w:r>
              <w:t>Webhook and retry tests pass</w:t>
            </w:r>
          </w:p>
        </w:tc>
      </w:tr>
      <w:tr>
        <w:tc>
          <w:tcPr>
            <w:tcW w:type="dxa" w:w="2160"/>
          </w:tcPr>
          <w:p>
            <w:r>
              <w:t>M10</w:t>
            </w:r>
          </w:p>
        </w:tc>
        <w:tc>
          <w:tcPr>
            <w:tcW w:type="dxa" w:w="2160"/>
          </w:tcPr>
          <w:p>
            <w:r>
              <w:t>R4</w:t>
            </w:r>
          </w:p>
        </w:tc>
        <w:tc>
          <w:tcPr>
            <w:tcW w:type="dxa" w:w="2160"/>
          </w:tcPr>
          <w:p>
            <w:r>
              <w:t>AI and document intelligence</w:t>
            </w:r>
          </w:p>
        </w:tc>
        <w:tc>
          <w:tcPr>
            <w:tcW w:type="dxa" w:w="2160"/>
          </w:tcPr>
          <w:p>
            <w:r>
              <w:t>AI permission and evaluation tests pass</w:t>
            </w:r>
          </w:p>
        </w:tc>
      </w:tr>
      <w:tr>
        <w:tc>
          <w:tcPr>
            <w:tcW w:type="dxa" w:w="2160"/>
          </w:tcPr>
          <w:p>
            <w:r>
              <w:t>M11</w:t>
            </w:r>
          </w:p>
        </w:tc>
        <w:tc>
          <w:tcPr>
            <w:tcW w:type="dxa" w:w="2160"/>
          </w:tcPr>
          <w:p>
            <w:r>
              <w:t>R4</w:t>
            </w:r>
          </w:p>
        </w:tc>
        <w:tc>
          <w:tcPr>
            <w:tcW w:type="dxa" w:w="2160"/>
          </w:tcPr>
          <w:p>
            <w:r>
              <w:t>Manufacturing, POS, commerce and subscriptions/rental</w:t>
            </w:r>
          </w:p>
        </w:tc>
        <w:tc>
          <w:tcPr>
            <w:tcW w:type="dxa" w:w="2160"/>
          </w:tcPr>
          <w:p>
            <w:r>
              <w:t>Transaction and integration tests pass</w:t>
            </w:r>
          </w:p>
        </w:tc>
      </w:tr>
      <w:tr>
        <w:tc>
          <w:tcPr>
            <w:tcW w:type="dxa" w:w="2160"/>
          </w:tcPr>
          <w:p>
            <w:r>
              <w:t>M12</w:t>
            </w:r>
          </w:p>
        </w:tc>
        <w:tc>
          <w:tcPr>
            <w:tcW w:type="dxa" w:w="2160"/>
          </w:tcPr>
          <w:p>
            <w:r>
              <w:t>R5</w:t>
            </w:r>
          </w:p>
        </w:tc>
        <w:tc>
          <w:tcPr>
            <w:tcW w:type="dxa" w:w="2160"/>
          </w:tcPr>
          <w:p>
            <w:r>
              <w:t>Studio and industry extension platform</w:t>
            </w:r>
          </w:p>
        </w:tc>
        <w:tc>
          <w:tcPr>
            <w:tcW w:type="dxa" w:w="2160"/>
          </w:tcPr>
          <w:p>
            <w:r>
              <w:t>Upgrade compatibility verified</w:t>
            </w:r>
          </w:p>
        </w:tc>
      </w:tr>
      <w:tr>
        <w:tc>
          <w:tcPr>
            <w:tcW w:type="dxa" w:w="2160"/>
          </w:tcPr>
          <w:p>
            <w:r>
              <w:t>M13</w:t>
            </w:r>
          </w:p>
        </w:tc>
        <w:tc>
          <w:tcPr>
            <w:tcW w:type="dxa" w:w="2160"/>
          </w:tcPr>
          <w:p>
            <w:r>
              <w:t>R5</w:t>
            </w:r>
          </w:p>
        </w:tc>
        <w:tc>
          <w:tcPr>
            <w:tcW w:type="dxa" w:w="2160"/>
          </w:tcPr>
          <w:p>
            <w:r>
              <w:t>Enterprise and cloud scale</w:t>
            </w:r>
          </w:p>
        </w:tc>
        <w:tc>
          <w:tcPr>
            <w:tcW w:type="dxa" w:w="2160"/>
          </w:tcPr>
          <w:p>
            <w:r>
              <w:t>Recovery, load and security gates pass</w:t>
            </w:r>
          </w:p>
        </w:tc>
      </w:tr>
    </w:tbl>
    <w:p>
      <w:pPr>
        <w:pStyle w:val="Heading1"/>
      </w:pPr>
      <w:r>
        <w:t>28. Release roadmap</w:t>
      </w:r>
    </w:p>
    <w:p>
      <w:pPr>
        <w:pStyle w:val="ListBullet"/>
      </w:pPr>
      <w:r>
        <w:t>R0: platform foundation</w:t>
      </w:r>
    </w:p>
    <w:p>
      <w:pPr>
        <w:pStyle w:val="ListBullet"/>
      </w:pPr>
      <w:r>
        <w:t>R1: CRM and Sales commercial release</w:t>
      </w:r>
    </w:p>
    <w:p>
      <w:pPr>
        <w:pStyle w:val="ListBullet"/>
      </w:pPr>
      <w:r>
        <w:t>R2: Finance, Inventory and Procurement</w:t>
      </w:r>
    </w:p>
    <w:p>
      <w:pPr>
        <w:pStyle w:val="ListBullet"/>
      </w:pPr>
      <w:r>
        <w:t>R3: HR, Projects, Helpdesk, Portals, Communications and Workflow</w:t>
      </w:r>
    </w:p>
    <w:p>
      <w:pPr>
        <w:pStyle w:val="ListBullet"/>
      </w:pPr>
      <w:r>
        <w:t>R4: AI, Manufacturing, POS, E-commerce and Subscriptions</w:t>
      </w:r>
    </w:p>
    <w:p>
      <w:pPr>
        <w:pStyle w:val="ListBullet"/>
      </w:pPr>
      <w:r>
        <w:t>R5: Studio, Industry Extensions and Enterprise capabilities</w:t>
      </w:r>
    </w:p>
    <w:p>
      <w:pPr>
        <w:pStyle w:val="Heading1"/>
      </w:pPr>
      <w:r>
        <w:t>29. Codex execution contract and definition of done</w:t>
      </w:r>
    </w:p>
    <w:p>
      <w:r>
        <w:t>For each bounded task: read approved specs; inspect repository; map requirement IDs; propose a scoped plan; implement; run relevant tests; document migrations, security and API impacts; update traceability; report observed results; stop at the approved milestone. Never fabricate test outcomes or bypass authorization.</w:t>
      </w:r>
    </w:p>
    <w:p>
      <w:r>
        <w:t>Definition of Done: validated behavior, permissions, tenant scoping, migration safety, tests, API/event contracts, auditability where relevant, no unresolved critical findings and traceability to requirements.</w:t>
      </w:r>
    </w:p>
    <w:p>
      <w:pPr>
        <w:pStyle w:val="Heading1"/>
      </w:pPr>
      <w:r>
        <w:t>30. End-to-end validation scenarios</w:t>
      </w:r>
    </w:p>
    <w:p>
      <w:pPr>
        <w:pStyle w:val="ListBullet"/>
      </w:pPr>
      <w:r>
        <w:t>E2E-001: Tenant provisioning.</w:t>
      </w:r>
    </w:p>
    <w:p>
      <w:pPr>
        <w:pStyle w:val="ListBullet"/>
      </w:pPr>
      <w:r>
        <w:t>E2E-002: Cross-tenant access denial.</w:t>
      </w:r>
    </w:p>
    <w:p>
      <w:pPr>
        <w:pStyle w:val="ListBullet"/>
      </w:pPr>
      <w:r>
        <w:t>E2E-003: CRM lead lifecycle.</w:t>
      </w:r>
    </w:p>
    <w:p>
      <w:pPr>
        <w:pStyle w:val="ListBullet"/>
      </w:pPr>
      <w:r>
        <w:t>E2E-004: Quotation conversion.</w:t>
      </w:r>
    </w:p>
    <w:p>
      <w:pPr>
        <w:pStyle w:val="ListBullet"/>
      </w:pPr>
      <w:r>
        <w:t>E2E-005: Idempotent order creation.</w:t>
      </w:r>
    </w:p>
    <w:p>
      <w:pPr>
        <w:pStyle w:val="ListBullet"/>
      </w:pPr>
      <w:r>
        <w:t>E2E-006: Balanced journal posting.</w:t>
      </w:r>
    </w:p>
    <w:p>
      <w:pPr>
        <w:pStyle w:val="ListBullet"/>
      </w:pPr>
      <w:r>
        <w:t>E2E-007: Period lock enforcement.</w:t>
      </w:r>
    </w:p>
    <w:p>
      <w:pPr>
        <w:pStyle w:val="ListBullet"/>
      </w:pPr>
      <w:r>
        <w:t>E2E-008: Stock concurrency and reservations.</w:t>
      </w:r>
    </w:p>
    <w:p>
      <w:pPr>
        <w:pStyle w:val="ListBullet"/>
      </w:pPr>
      <w:r>
        <w:t>E2E-009: Partial purchase receipt.</w:t>
      </w:r>
    </w:p>
    <w:p>
      <w:pPr>
        <w:pStyle w:val="ListBullet"/>
      </w:pPr>
      <w:r>
        <w:t>E2E-010: Payment reconciliation.</w:t>
      </w:r>
    </w:p>
    <w:p>
      <w:pPr>
        <w:pStyle w:val="ListBullet"/>
      </w:pPr>
      <w:r>
        <w:t>E2E-011: Leave approval.</w:t>
      </w:r>
    </w:p>
    <w:p>
      <w:pPr>
        <w:pStyle w:val="ListBullet"/>
      </w:pPr>
      <w:r>
        <w:t>E2E-012: External portal scoping.</w:t>
      </w:r>
    </w:p>
    <w:p>
      <w:pPr>
        <w:pStyle w:val="ListBullet"/>
      </w:pPr>
      <w:r>
        <w:t>E2E-013: WhatsApp webhook replay.</w:t>
      </w:r>
    </w:p>
    <w:p>
      <w:pPr>
        <w:pStyle w:val="ListBullet"/>
      </w:pPr>
      <w:r>
        <w:t>E2E-014: Workflow idempotency.</w:t>
      </w:r>
    </w:p>
    <w:p>
      <w:pPr>
        <w:pStyle w:val="ListBullet"/>
      </w:pPr>
      <w:r>
        <w:t>E2E-015: AI tool authorization.</w:t>
      </w:r>
    </w:p>
    <w:p>
      <w:pPr>
        <w:pStyle w:val="ListBullet"/>
      </w:pPr>
      <w:r>
        <w:t>E2E-016: AI prompt-injection handling.</w:t>
      </w:r>
    </w:p>
    <w:p>
      <w:pPr>
        <w:pStyle w:val="ListBullet"/>
      </w:pPr>
      <w:r>
        <w:t>E2E-017: Backup restoration.</w:t>
      </w:r>
    </w:p>
    <w:p>
      <w:pPr>
        <w:pStyle w:val="ListBullet"/>
      </w:pPr>
      <w:r>
        <w:t>E2E-018: Module upgrade compatibility.</w:t>
      </w:r>
    </w:p>
    <w:p>
      <w:pPr>
        <w:pStyle w:val="ListBullet"/>
      </w:pPr>
      <w:r>
        <w:t>E2E-019: Financial report reconciliation.</w:t>
      </w:r>
    </w:p>
    <w:p>
      <w:pPr>
        <w:pStyle w:val="ListBullet"/>
      </w:pPr>
      <w:r>
        <w:t>E2E-020: Tenant suspension and recovery.</w:t>
      </w:r>
    </w:p>
    <w:p>
      <w:pPr>
        <w:pStyle w:val="Heading1"/>
      </w:pPr>
      <w:r>
        <w:t>31. Risks and open decisions</w:t>
      </w:r>
    </w:p>
    <w:p>
      <w:pPr>
        <w:pStyle w:val="ListBullet"/>
      </w:pPr>
      <w:r>
        <w:t>RSK-001: Scope expansion; mitigate through phased delivery, ADRs, validation and release gates.</w:t>
      </w:r>
    </w:p>
    <w:p>
      <w:pPr>
        <w:pStyle w:val="ListBullet"/>
      </w:pPr>
      <w:r>
        <w:t>RSK-002: Finance localization and correctness; mitigate through phased delivery, ADRs, validation and release gates.</w:t>
      </w:r>
    </w:p>
    <w:p>
      <w:pPr>
        <w:pStyle w:val="ListBullet"/>
      </w:pPr>
      <w:r>
        <w:t>RSK-003: Tenant data leakage; mitigate through phased delivery, ADRs, validation and release gates.</w:t>
      </w:r>
    </w:p>
    <w:p>
      <w:pPr>
        <w:pStyle w:val="ListBullet"/>
      </w:pPr>
      <w:r>
        <w:t>RSK-004: Codex-generated inconsistency; mitigate through phased delivery, ADRs, validation and release gates.</w:t>
      </w:r>
    </w:p>
    <w:p>
      <w:pPr>
        <w:pStyle w:val="ListBullet"/>
      </w:pPr>
      <w:r>
        <w:t>RSK-005: Reference-product licensing; mitigate through phased delivery, ADRs, validation and release gates.</w:t>
      </w:r>
    </w:p>
    <w:p>
      <w:pPr>
        <w:pStyle w:val="ListBullet"/>
      </w:pPr>
      <w:r>
        <w:t>RSK-006: WhatsApp provider policy changes; mitigate through phased delivery, ADRs, validation and release gates.</w:t>
      </w:r>
    </w:p>
    <w:p>
      <w:pPr>
        <w:pStyle w:val="ListBullet"/>
      </w:pPr>
      <w:r>
        <w:t>RSK-007: AI accuracy and privacy; mitigate through phased delivery, ADRs, validation and release gates.</w:t>
      </w:r>
    </w:p>
    <w:p>
      <w:pPr>
        <w:pStyle w:val="ListBullet"/>
      </w:pPr>
      <w:r>
        <w:t>RSK-008: Studio upgrade compatibility; mitigate through phased delivery, ADRs, validation and release gates.</w:t>
      </w:r>
    </w:p>
    <w:p>
      <w:pPr>
        <w:pStyle w:val="ListBullet"/>
      </w:pPr>
      <w:r>
        <w:t>RSK-009: Cloud infrastructure cost; mitigate through phased delivery, ADRs, validation and release gates.</w:t>
      </w:r>
    </w:p>
    <w:p>
      <w:pPr>
        <w:pStyle w:val="ListBullet"/>
      </w:pPr>
      <w:r>
        <w:t>RSK-010: Sri Lankan tax and payroll localization; mitigate through phased delivery, ADRs, validation and release gates.</w:t>
      </w:r>
    </w:p>
    <w:p>
      <w:pPr>
        <w:pStyle w:val="ListBullet"/>
      </w:pPr>
      <w:r>
        <w:t>RSK-011: Enterprise load assumptions; mitigate through phased delivery, ADRs, validation and release gates.</w:t>
      </w:r>
    </w:p>
    <w:p>
      <w:pPr>
        <w:pStyle w:val="ListBullet"/>
      </w:pPr>
      <w:r>
        <w:t>RSK-012: Customer migration complexity; mitigate through phased delivery, ADRs, validation and release gates.</w:t>
      </w:r>
    </w:p>
    <w:p>
      <w:r>
        <w:t>Open decisions: tenancy topology validation; licensing; Sri Lankan accounting and payroll requirements; payment gateways; hosting provider; offline mobile scope; enterprise commitments.</w:t>
      </w:r>
    </w:p>
    <w:p>
      <w:pPr>
        <w:pStyle w:val="Heading1"/>
      </w:pPr>
      <w:r>
        <w:t>32. Documentation and readiness</w:t>
      </w:r>
    </w:p>
    <w:p>
      <w:r>
        <w:t>Maintain PRD.md, SAD.md, REQUIREMENTS_TRACEABILITY.md, FEATURE_PARITY_MATRIX.md, MODULE_CATALOG.md, DATABASE_DESIGN.md, API_SPECIFICATION.yaml, SECURITY_MODEL.md, TEST_STRATEGY.md, DEPLOYMENT_GUIDE.md, AGENTS.md, CHANGELOG.md and architecture decisions.</w:t>
      </w:r>
    </w:p>
    <w:p>
      <w:r>
        <w:t>This document is a comprehensive product-level implementation baseline. Detailed domain models, field-level schemas, API specifications and localization policies must be approved before implementing affected modules. The next companion artifact is the System Architecture Document (SAD v1.0).</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INF-ERP-PRD-001  •  v1.1  •  Internal engineering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INFOVISH SYSTEMS  |  PRODUCT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6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96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96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