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33E75"/>
          <w:sz w:val="52"/>
        </w:rPr>
        <w:t>INFOVISH ERP &amp; CRM</w:t>
      </w:r>
    </w:p>
    <w:p>
      <w:pPr>
        <w:jc w:val="center"/>
      </w:pPr>
      <w:r>
        <w:rPr>
          <w:b/>
          <w:sz w:val="40"/>
        </w:rPr>
        <w:t>SYSTEM ARCHITECTURE DOCUMENT</w:t>
      </w:r>
    </w:p>
    <w:p>
      <w:pPr>
        <w:jc w:val="center"/>
      </w:pPr>
      <w:r>
        <w:rPr>
          <w:sz w:val="26"/>
        </w:rPr>
        <w:t>SAD v1.0  |  INF-ERP-SAD-001</w:t>
      </w:r>
    </w:p>
    <w:p>
      <w:pPr>
        <w:jc w:val="center"/>
      </w:pPr>
    </w:p>
    <w:p>
      <w:pPr>
        <w:jc w:val="center"/>
      </w:pPr>
      <w:r>
        <w:rPr>
          <w:b/>
        </w:rPr>
        <w:t xml:space="preserve">Prepared for: </w:t>
      </w:r>
      <w:r>
        <w:t>Infovish Systems</w:t>
      </w:r>
    </w:p>
    <w:p>
      <w:pPr>
        <w:jc w:val="center"/>
      </w:pPr>
      <w:r>
        <w:rPr>
          <w:b/>
        </w:rPr>
        <w:t xml:space="preserve">Reference: </w:t>
      </w:r>
      <w:r>
        <w:t>Product Requirements Document v1.1</w:t>
      </w:r>
    </w:p>
    <w:p>
      <w:pPr>
        <w:jc w:val="center"/>
      </w:pPr>
      <w:r>
        <w:rPr>
          <w:b/>
        </w:rPr>
        <w:t xml:space="preserve">Document status: </w:t>
      </w:r>
      <w:r>
        <w:t>Proposed engineering baseline</w:t>
      </w:r>
    </w:p>
    <w:p>
      <w:pPr>
        <w:jc w:val="center"/>
      </w:pPr>
      <w:r>
        <w:rPr>
          <w:b/>
        </w:rPr>
        <w:t xml:space="preserve">Date: </w:t>
      </w:r>
      <w:r>
        <w:t>29 October 2026</w:t>
      </w:r>
    </w:p>
    <w:p>
      <w:pPr>
        <w:jc w:val="center"/>
      </w:pPr>
      <w:r>
        <w:rPr>
          <w:b/>
        </w:rPr>
        <w:t xml:space="preserve">UI wireframe: </w:t>
      </w:r>
      <w:r>
        <w:t>https://meta-drawn-18880799.figma.site</w:t>
      </w:r>
    </w:p>
    <w:p>
      <w:r>
        <w:t>This document defines the proposed target architecture and phased implementation controls. No production readiness or implementation completion is implied.</w:t>
      </w:r>
    </w:p>
    <w:p>
      <w:r>
        <w:br w:type="page"/>
      </w:r>
    </w:p>
    <w:p>
      <w:pPr>
        <w:pStyle w:val="Heading1"/>
      </w:pPr>
      <w:r>
        <w:t>Document control</w:t>
      </w:r>
    </w:p>
    <w:tbl>
      <w:tblPr>
        <w:tblStyle w:val="LightShading-Accent1"/>
        <w:tblW w:type="auto" w:w="0"/>
        <w:jc w:val="center"/>
        <w:tblLook w:firstColumn="1" w:firstRow="1" w:lastColumn="0" w:lastRow="0" w:noHBand="0" w:noVBand="1" w:val="04A0"/>
      </w:tblPr>
      <w:tblGrid>
        <w:gridCol w:w="4882"/>
        <w:gridCol w:w="4882"/>
      </w:tblGrid>
      <w:tr>
        <w:tc>
          <w:tcPr>
            <w:tcW w:type="dxa" w:w="4882"/>
          </w:tcPr>
          <w:p>
            <w:r>
              <w:t>Field</w:t>
            </w:r>
          </w:p>
        </w:tc>
        <w:tc>
          <w:tcPr>
            <w:tcW w:type="dxa" w:w="4882"/>
          </w:tcPr>
          <w:p>
            <w:r>
              <w:t>Value</w:t>
            </w:r>
          </w:p>
        </w:tc>
      </w:tr>
      <w:tr>
        <w:tc>
          <w:tcPr>
            <w:tcW w:type="dxa" w:w="4882"/>
          </w:tcPr>
          <w:p>
            <w:r>
              <w:t>Document ID</w:t>
            </w:r>
          </w:p>
        </w:tc>
        <w:tc>
          <w:tcPr>
            <w:tcW w:type="dxa" w:w="4882"/>
          </w:tcPr>
          <w:p>
            <w:r>
              <w:t>INF-ERP-SAD-001</w:t>
            </w:r>
          </w:p>
        </w:tc>
      </w:tr>
      <w:tr>
        <w:tc>
          <w:tcPr>
            <w:tcW w:type="dxa" w:w="4882"/>
          </w:tcPr>
          <w:p>
            <w:r>
              <w:t>Version</w:t>
            </w:r>
          </w:p>
        </w:tc>
        <w:tc>
          <w:tcPr>
            <w:tcW w:type="dxa" w:w="4882"/>
          </w:tcPr>
          <w:p>
            <w:r>
              <w:t>1.0</w:t>
            </w:r>
          </w:p>
        </w:tc>
      </w:tr>
      <w:tr>
        <w:tc>
          <w:tcPr>
            <w:tcW w:type="dxa" w:w="4882"/>
          </w:tcPr>
          <w:p>
            <w:r>
              <w:t>Parent specification</w:t>
            </w:r>
          </w:p>
        </w:tc>
        <w:tc>
          <w:tcPr>
            <w:tcW w:type="dxa" w:w="4882"/>
          </w:tcPr>
          <w:p>
            <w:r>
              <w:t>Infovish ERP PRD v1.1</w:t>
            </w:r>
          </w:p>
        </w:tc>
      </w:tr>
      <w:tr>
        <w:tc>
          <w:tcPr>
            <w:tcW w:type="dxa" w:w="4882"/>
          </w:tcPr>
          <w:p>
            <w:r>
              <w:t>Architecture</w:t>
            </w:r>
          </w:p>
        </w:tc>
        <w:tc>
          <w:tcPr>
            <w:tcW w:type="dxa" w:w="4882"/>
          </w:tcPr>
          <w:p>
            <w:r>
              <w:t>Domain-oriented modular monolith with isolated services</w:t>
            </w:r>
          </w:p>
        </w:tc>
      </w:tr>
      <w:tr>
        <w:tc>
          <w:tcPr>
            <w:tcW w:type="dxa" w:w="4882"/>
          </w:tcPr>
          <w:p>
            <w:r>
              <w:t>Implementation</w:t>
            </w:r>
          </w:p>
        </w:tc>
        <w:tc>
          <w:tcPr>
            <w:tcW w:type="dxa" w:w="4882"/>
          </w:tcPr>
          <w:p>
            <w:r>
              <w:t>Incremental ChatGPT Codex milestones M00–M13</w:t>
            </w:r>
          </w:p>
        </w:tc>
      </w:tr>
      <w:tr>
        <w:tc>
          <w:tcPr>
            <w:tcW w:type="dxa" w:w="4882"/>
          </w:tcPr>
          <w:p>
            <w:r>
              <w:t>Figma wireframes</w:t>
            </w:r>
          </w:p>
        </w:tc>
        <w:tc>
          <w:tcPr>
            <w:tcW w:type="dxa" w:w="4882"/>
          </w:tcPr>
          <w:p>
            <w:r>
              <w:t>https://meta-drawn-18880799.figma.site</w:t>
            </w:r>
          </w:p>
        </w:tc>
      </w:tr>
      <w:tr>
        <w:tc>
          <w:tcPr>
            <w:tcW w:type="dxa" w:w="4882"/>
          </w:tcPr>
          <w:p>
            <w:r>
              <w:t>Approval</w:t>
            </w:r>
          </w:p>
        </w:tc>
        <w:tc>
          <w:tcPr>
            <w:tcW w:type="dxa" w:w="4882"/>
          </w:tcPr>
          <w:p>
            <w:r>
              <w:t>Pending M00 architecture review</w:t>
            </w:r>
          </w:p>
        </w:tc>
      </w:tr>
    </w:tbl>
    <w:p/>
    <w:p>
      <w:pPr>
        <w:pStyle w:val="Heading1"/>
      </w:pPr>
      <w:r>
        <w:t>Wireframe reference</w:t>
      </w:r>
    </w:p>
    <w:p>
      <w:r>
        <w:t>Figma UI wireframe prototype supplied by the product owner: https://meta-drawn-18880799.figma.site. Treat this as a design reference, not an authoritative source of implemented behavior. Validate accessibility, responsive states, navigation, permissions and consistency against the PRD before coding screens.</w:t>
      </w:r>
    </w:p>
    <w:p>
      <w:pPr>
        <w:pStyle w:val="Heading1"/>
      </w:pPr>
      <w:r>
        <w:t>1. Executive summary</w:t>
      </w:r>
    </w:p>
    <w:p>
      <w:r>
        <w:t>Infovish ERP is a modular, multi-tenant ERP and CRM platform for organizations ranging from small businesses to enterprise deployments. Its core transactional services will use Laravel and PostgreSQL within a modular monolith; separately deployed services will support governed AI and selected integrations. React/TypeScript/Inertia serves the web interface; Flutter is planned for mobile.</w:t>
      </w:r>
    </w:p>
    <w:tbl>
      <w:tblPr>
        <w:tblStyle w:val="LightShading-Accent1"/>
        <w:tblW w:type="auto" w:w="0"/>
        <w:jc w:val="center"/>
        <w:tblLook w:firstColumn="1" w:firstRow="1" w:lastColumn="0" w:lastRow="0" w:noHBand="0" w:noVBand="1" w:val="04A0"/>
      </w:tblPr>
      <w:tblGrid>
        <w:gridCol w:w="4882"/>
        <w:gridCol w:w="4882"/>
      </w:tblGrid>
      <w:tr>
        <w:tc>
          <w:tcPr>
            <w:tcW w:type="dxa" w:w="4882"/>
          </w:tcPr>
          <w:p>
            <w:r>
              <w:t>Concern</w:t>
            </w:r>
          </w:p>
        </w:tc>
        <w:tc>
          <w:tcPr>
            <w:tcW w:type="dxa" w:w="4882"/>
          </w:tcPr>
          <w:p>
            <w:r>
              <w:t>Architecture baseline</w:t>
            </w:r>
          </w:p>
        </w:tc>
      </w:tr>
      <w:tr>
        <w:tc>
          <w:tcPr>
            <w:tcW w:type="dxa" w:w="4882"/>
          </w:tcPr>
          <w:p>
            <w:r>
              <w:t>Backend</w:t>
            </w:r>
          </w:p>
        </w:tc>
        <w:tc>
          <w:tcPr>
            <w:tcW w:type="dxa" w:w="4882"/>
          </w:tcPr>
          <w:p>
            <w:r>
              <w:t>Laravel / PHP modular monolith</w:t>
            </w:r>
          </w:p>
        </w:tc>
      </w:tr>
      <w:tr>
        <w:tc>
          <w:tcPr>
            <w:tcW w:type="dxa" w:w="4882"/>
          </w:tcPr>
          <w:p>
            <w:r>
              <w:t>Frontend</w:t>
            </w:r>
          </w:p>
        </w:tc>
        <w:tc>
          <w:tcPr>
            <w:tcW w:type="dxa" w:w="4882"/>
          </w:tcPr>
          <w:p>
            <w:r>
              <w:t>React + TypeScript + Inertia + Tailwind</w:t>
            </w:r>
          </w:p>
        </w:tc>
      </w:tr>
      <w:tr>
        <w:tc>
          <w:tcPr>
            <w:tcW w:type="dxa" w:w="4882"/>
          </w:tcPr>
          <w:p>
            <w:r>
              <w:t>Data</w:t>
            </w:r>
          </w:p>
        </w:tc>
        <w:tc>
          <w:tcPr>
            <w:tcW w:type="dxa" w:w="4882"/>
          </w:tcPr>
          <w:p>
            <w:r>
              <w:t>PostgreSQL platform database + database per tenant</w:t>
            </w:r>
          </w:p>
        </w:tc>
      </w:tr>
      <w:tr>
        <w:tc>
          <w:tcPr>
            <w:tcW w:type="dxa" w:w="4882"/>
          </w:tcPr>
          <w:p>
            <w:r>
              <w:t>Async</w:t>
            </w:r>
          </w:p>
        </w:tc>
        <w:tc>
          <w:tcPr>
            <w:tcW w:type="dxa" w:w="4882"/>
          </w:tcPr>
          <w:p>
            <w:r>
              <w:t>Redis queues, transactional outbox and idempotent consumers</w:t>
            </w:r>
          </w:p>
        </w:tc>
      </w:tr>
      <w:tr>
        <w:tc>
          <w:tcPr>
            <w:tcW w:type="dxa" w:w="4882"/>
          </w:tcPr>
          <w:p>
            <w:r>
              <w:t>AI</w:t>
            </w:r>
          </w:p>
        </w:tc>
        <w:tc>
          <w:tcPr>
            <w:tcW w:type="dxa" w:w="4882"/>
          </w:tcPr>
          <w:p>
            <w:r>
              <w:t>FastAPI with permission-scoped ERP tool gateway</w:t>
            </w:r>
          </w:p>
        </w:tc>
      </w:tr>
      <w:tr>
        <w:tc>
          <w:tcPr>
            <w:tcW w:type="dxa" w:w="4882"/>
          </w:tcPr>
          <w:p>
            <w:r>
              <w:t>Messaging</w:t>
            </w:r>
          </w:p>
        </w:tc>
        <w:tc>
          <w:tcPr>
            <w:tcW w:type="dxa" w:w="4882"/>
          </w:tcPr>
          <w:p>
            <w:r>
              <w:t>Official WhatsApp Business Platform Cloud API</w:t>
            </w:r>
          </w:p>
        </w:tc>
      </w:tr>
      <w:tr>
        <w:tc>
          <w:tcPr>
            <w:tcW w:type="dxa" w:w="4882"/>
          </w:tcPr>
          <w:p>
            <w:r>
              <w:t>Infrastructure</w:t>
            </w:r>
          </w:p>
        </w:tc>
        <w:tc>
          <w:tcPr>
            <w:tcW w:type="dxa" w:w="4882"/>
          </w:tcPr>
          <w:p>
            <w:r>
              <w:t>Docker, managed data services, IaC, CI/CD</w:t>
            </w:r>
          </w:p>
        </w:tc>
      </w:tr>
      <w:tr>
        <w:tc>
          <w:tcPr>
            <w:tcW w:type="dxa" w:w="4882"/>
          </w:tcPr>
          <w:p>
            <w:r>
              <w:t>APIs</w:t>
            </w:r>
          </w:p>
        </w:tc>
        <w:tc>
          <w:tcPr>
            <w:tcW w:type="dxa" w:w="4882"/>
          </w:tcPr>
          <w:p>
            <w:r>
              <w:t>Versioned REST, OpenAPI, authenticated webhooks</w:t>
            </w:r>
          </w:p>
        </w:tc>
      </w:tr>
    </w:tbl>
    <w:p/>
    <w:p>
      <w:pPr>
        <w:pStyle w:val="Heading2"/>
      </w:pPr>
      <w:r>
        <w:t>1.1 Architecture principles</w:t>
      </w:r>
    </w:p>
    <w:p>
      <w:pPr>
        <w:pStyle w:val="ListBullet"/>
      </w:pPr>
      <w:r>
        <w:t>Enforce all financial, inventory and authorization invariants server-side.</w:t>
      </w:r>
    </w:p>
    <w:p>
      <w:pPr>
        <w:pStyle w:val="ListBullet"/>
      </w:pPr>
      <w:r>
        <w:t>Each module owns its data and publishes explicit public contracts.</w:t>
      </w:r>
    </w:p>
    <w:p>
      <w:pPr>
        <w:pStyle w:val="ListBullet"/>
      </w:pPr>
      <w:r>
        <w:t>Never authorize a tenant solely from untrusted client-provided identifiers.</w:t>
      </w:r>
    </w:p>
    <w:p>
      <w:pPr>
        <w:pStyle w:val="ListBullet"/>
      </w:pPr>
      <w:r>
        <w:t>Treat external messages, AI retrieval and webhooks as untrusted inputs.</w:t>
      </w:r>
    </w:p>
    <w:p>
      <w:pPr>
        <w:pStyle w:val="ListBullet"/>
      </w:pPr>
      <w:r>
        <w:t>Preserve transactional consistency; design async delivery as at-least-once.</w:t>
      </w:r>
    </w:p>
    <w:p>
      <w:pPr>
        <w:pStyle w:val="ListBullet"/>
      </w:pPr>
      <w:r>
        <w:t>Favor reproducible infrastructure, observable behavior and testable boundaries.</w:t>
      </w:r>
    </w:p>
    <w:p>
      <w:pPr>
        <w:pStyle w:val="ListBullet"/>
      </w:pPr>
      <w:r>
        <w:t>Build only the approved milestone and document deviations through ADRs.</w:t>
      </w:r>
    </w:p>
    <w:p>
      <w:pPr>
        <w:pStyle w:val="Heading1"/>
      </w:pPr>
      <w:r>
        <w:t>2. C4 system architecture</w:t>
      </w:r>
    </w:p>
    <w:p>
      <w:r>
        <w:drawing>
          <wp:inline xmlns:a="http://schemas.openxmlformats.org/drawingml/2006/main" xmlns:pic="http://schemas.openxmlformats.org/drawingml/2006/picture">
            <wp:extent cx="6126480" cy="2379116"/>
            <wp:docPr id="1" name="Picture 1"/>
            <wp:cNvGraphicFramePr>
              <a:graphicFrameLocks noChangeAspect="1"/>
            </wp:cNvGraphicFramePr>
            <a:graphic>
              <a:graphicData uri="http://schemas.openxmlformats.org/drawingml/2006/picture">
                <pic:pic>
                  <pic:nvPicPr>
                    <pic:cNvPr id="0" name="c4_context.png"/>
                    <pic:cNvPicPr/>
                  </pic:nvPicPr>
                  <pic:blipFill>
                    <a:blip r:embed="rId9"/>
                    <a:stretch>
                      <a:fillRect/>
                    </a:stretch>
                  </pic:blipFill>
                  <pic:spPr>
                    <a:xfrm>
                      <a:off x="0" y="0"/>
                      <a:ext cx="6126480" cy="2379116"/>
                    </a:xfrm>
                    <a:prstGeom prst="rect"/>
                  </pic:spPr>
                </pic:pic>
              </a:graphicData>
            </a:graphic>
          </wp:inline>
        </w:drawing>
      </w:r>
    </w:p>
    <w:p>
      <w:pPr>
        <w:jc w:val="center"/>
      </w:pPr>
      <w:r>
        <w:rPr>
          <w:i/>
          <w:sz w:val="16"/>
        </w:rPr>
        <w:t>Figure 1. C4 Level 1 — people, ERP system and external dependencies.</w:t>
      </w:r>
    </w:p>
    <w:p>
      <w:r>
        <w:t>Actors include tenant administrators, employees, managers, customers, suppliers, partner developers and Infovish operators. Trust boundaries separate each tenant, the platform control plane and external providers.</w:t>
      </w:r>
    </w:p>
    <w:p>
      <w:r>
        <w:drawing>
          <wp:inline xmlns:a="http://schemas.openxmlformats.org/drawingml/2006/main" xmlns:pic="http://schemas.openxmlformats.org/drawingml/2006/picture">
            <wp:extent cx="6126480" cy="2950921"/>
            <wp:docPr id="2" name="Picture 2"/>
            <wp:cNvGraphicFramePr>
              <a:graphicFrameLocks noChangeAspect="1"/>
            </wp:cNvGraphicFramePr>
            <a:graphic>
              <a:graphicData uri="http://schemas.openxmlformats.org/drawingml/2006/picture">
                <pic:pic>
                  <pic:nvPicPr>
                    <pic:cNvPr id="0" name="c4_containers.png"/>
                    <pic:cNvPicPr/>
                  </pic:nvPicPr>
                  <pic:blipFill>
                    <a:blip r:embed="rId10"/>
                    <a:stretch>
                      <a:fillRect/>
                    </a:stretch>
                  </pic:blipFill>
                  <pic:spPr>
                    <a:xfrm>
                      <a:off x="0" y="0"/>
                      <a:ext cx="6126480" cy="2950921"/>
                    </a:xfrm>
                    <a:prstGeom prst="rect"/>
                  </pic:spPr>
                </pic:pic>
              </a:graphicData>
            </a:graphic>
          </wp:inline>
        </w:drawing>
      </w:r>
    </w:p>
    <w:p>
      <w:pPr>
        <w:jc w:val="center"/>
      </w:pPr>
      <w:r>
        <w:rPr>
          <w:i/>
          <w:sz w:val="16"/>
        </w:rPr>
        <w:t>Figure 2. C4 Level 2 — deployable containers and state services.</w:t>
      </w:r>
    </w:p>
    <w:tbl>
      <w:tblPr>
        <w:tblStyle w:val="LightShading-Accent1"/>
        <w:tblW w:type="auto" w:w="0"/>
        <w:jc w:val="center"/>
        <w:tblLook w:firstColumn="1" w:firstRow="1" w:lastColumn="0" w:lastRow="0" w:noHBand="0" w:noVBand="1" w:val="04A0"/>
      </w:tblPr>
      <w:tblGrid>
        <w:gridCol w:w="4882"/>
        <w:gridCol w:w="4882"/>
      </w:tblGrid>
      <w:tr>
        <w:tc>
          <w:tcPr>
            <w:tcW w:type="dxa" w:w="4882"/>
          </w:tcPr>
          <w:p>
            <w:r>
              <w:t>Container</w:t>
            </w:r>
          </w:p>
        </w:tc>
        <w:tc>
          <w:tcPr>
            <w:tcW w:type="dxa" w:w="4882"/>
          </w:tcPr>
          <w:p>
            <w:r>
              <w:t>Primary responsibility</w:t>
            </w:r>
          </w:p>
        </w:tc>
      </w:tr>
      <w:tr>
        <w:tc>
          <w:tcPr>
            <w:tcW w:type="dxa" w:w="4882"/>
          </w:tcPr>
          <w:p>
            <w:r>
              <w:t>ERP Web</w:t>
            </w:r>
          </w:p>
        </w:tc>
        <w:tc>
          <w:tcPr>
            <w:tcW w:type="dxa" w:w="4882"/>
          </w:tcPr>
          <w:p>
            <w:r>
              <w:t>Authenticated user experience through Inertia</w:t>
            </w:r>
          </w:p>
        </w:tc>
      </w:tr>
      <w:tr>
        <w:tc>
          <w:tcPr>
            <w:tcW w:type="dxa" w:w="4882"/>
          </w:tcPr>
          <w:p>
            <w:r>
              <w:t>Laravel ERP</w:t>
            </w:r>
          </w:p>
        </w:tc>
        <w:tc>
          <w:tcPr>
            <w:tcW w:type="dxa" w:w="4882"/>
          </w:tcPr>
          <w:p>
            <w:r>
              <w:t>Business transactions, authorization and public REST APIs</w:t>
            </w:r>
          </w:p>
        </w:tc>
      </w:tr>
      <w:tr>
        <w:tc>
          <w:tcPr>
            <w:tcW w:type="dxa" w:w="4882"/>
          </w:tcPr>
          <w:p>
            <w:r>
              <w:t>Control plane</w:t>
            </w:r>
          </w:p>
        </w:tc>
        <w:tc>
          <w:tcPr>
            <w:tcW w:type="dxa" w:w="4882"/>
          </w:tcPr>
          <w:p>
            <w:r>
              <w:t>Tenant lifecycle, subscriptions and provisioning</w:t>
            </w:r>
          </w:p>
        </w:tc>
      </w:tr>
      <w:tr>
        <w:tc>
          <w:tcPr>
            <w:tcW w:type="dxa" w:w="4882"/>
          </w:tcPr>
          <w:p>
            <w:r>
              <w:t>FastAPI AI</w:t>
            </w:r>
          </w:p>
        </w:tc>
        <w:tc>
          <w:tcPr>
            <w:tcW w:type="dxa" w:w="4882"/>
          </w:tcPr>
          <w:p>
            <w:r>
              <w:t>Prompt/model routing, governed tools, evaluations</w:t>
            </w:r>
          </w:p>
        </w:tc>
      </w:tr>
      <w:tr>
        <w:tc>
          <w:tcPr>
            <w:tcW w:type="dxa" w:w="4882"/>
          </w:tcPr>
          <w:p>
            <w:r>
              <w:t>Integration workers</w:t>
            </w:r>
          </w:p>
        </w:tc>
        <w:tc>
          <w:tcPr>
            <w:tcW w:type="dxa" w:w="4882"/>
          </w:tcPr>
          <w:p>
            <w:r>
              <w:t>Provider callbacks, outbound delivery and retries</w:t>
            </w:r>
          </w:p>
        </w:tc>
      </w:tr>
      <w:tr>
        <w:tc>
          <w:tcPr>
            <w:tcW w:type="dxa" w:w="4882"/>
          </w:tcPr>
          <w:p>
            <w:r>
              <w:t>PostgreSQL</w:t>
            </w:r>
          </w:p>
        </w:tc>
        <w:tc>
          <w:tcPr>
            <w:tcW w:type="dxa" w:w="4882"/>
          </w:tcPr>
          <w:p>
            <w:r>
              <w:t>Authoritative platform and tenant business data</w:t>
            </w:r>
          </w:p>
        </w:tc>
      </w:tr>
      <w:tr>
        <w:tc>
          <w:tcPr>
            <w:tcW w:type="dxa" w:w="4882"/>
          </w:tcPr>
          <w:p>
            <w:r>
              <w:t>Redis</w:t>
            </w:r>
          </w:p>
        </w:tc>
        <w:tc>
          <w:tcPr>
            <w:tcW w:type="dxa" w:w="4882"/>
          </w:tcPr>
          <w:p>
            <w:r>
              <w:t>Queues, cache and coordination</w:t>
            </w:r>
          </w:p>
        </w:tc>
      </w:tr>
      <w:tr>
        <w:tc>
          <w:tcPr>
            <w:tcW w:type="dxa" w:w="4882"/>
          </w:tcPr>
          <w:p>
            <w:r>
              <w:t>Object storage</w:t>
            </w:r>
          </w:p>
        </w:tc>
        <w:tc>
          <w:tcPr>
            <w:tcW w:type="dxa" w:w="4882"/>
          </w:tcPr>
          <w:p>
            <w:r>
              <w:t>Authorized document and attachment storage</w:t>
            </w:r>
          </w:p>
        </w:tc>
      </w:tr>
    </w:tbl>
    <w:p/>
    <w:p>
      <w:r>
        <w:drawing>
          <wp:inline xmlns:a="http://schemas.openxmlformats.org/drawingml/2006/main" xmlns:pic="http://schemas.openxmlformats.org/drawingml/2006/picture">
            <wp:extent cx="6126480" cy="2950921"/>
            <wp:docPr id="3" name="Picture 3"/>
            <wp:cNvGraphicFramePr>
              <a:graphicFrameLocks noChangeAspect="1"/>
            </wp:cNvGraphicFramePr>
            <a:graphic>
              <a:graphicData uri="http://schemas.openxmlformats.org/drawingml/2006/picture">
                <pic:pic>
                  <pic:nvPicPr>
                    <pic:cNvPr id="0" name="c4_components.png"/>
                    <pic:cNvPicPr/>
                  </pic:nvPicPr>
                  <pic:blipFill>
                    <a:blip r:embed="rId11"/>
                    <a:stretch>
                      <a:fillRect/>
                    </a:stretch>
                  </pic:blipFill>
                  <pic:spPr>
                    <a:xfrm>
                      <a:off x="0" y="0"/>
                      <a:ext cx="6126480" cy="2950921"/>
                    </a:xfrm>
                    <a:prstGeom prst="rect"/>
                  </pic:spPr>
                </pic:pic>
              </a:graphicData>
            </a:graphic>
          </wp:inline>
        </w:drawing>
      </w:r>
    </w:p>
    <w:p>
      <w:pPr>
        <w:jc w:val="center"/>
      </w:pPr>
      <w:r>
        <w:rPr>
          <w:i/>
          <w:sz w:val="16"/>
        </w:rPr>
        <w:t>Figure 3. C4 Level 3 — application component layering.</w:t>
      </w:r>
    </w:p>
    <w:p>
      <w:pPr>
        <w:pStyle w:val="Heading2"/>
      </w:pPr>
      <w:r>
        <w:t>2.4 C4 Level 4 — example implementation path</w:t>
      </w:r>
    </w:p>
    <w:p>
      <w:pPr>
        <w:pStyle w:val="NoSpacing"/>
      </w:pPr>
      <w:r>
        <w:rPr>
          <w:rFonts w:ascii="Consolas" w:hAnsi="Consolas"/>
          <w:sz w:val="14"/>
        </w:rPr>
        <w:t>CreateLeadController -&gt; CreateLeadCommand -&gt; CreateLeadHandler</w:t>
      </w:r>
    </w:p>
    <w:p>
      <w:pPr>
        <w:pStyle w:val="NoSpacing"/>
      </w:pPr>
      <w:r>
        <w:rPr>
          <w:rFonts w:ascii="Consolas" w:hAnsi="Consolas"/>
          <w:sz w:val="14"/>
        </w:rPr>
        <w:t xml:space="preserve"> -&gt; Lead domain model -&gt; LeadRepository -&gt; PostgreSQL</w:t>
      </w:r>
    </w:p>
    <w:p>
      <w:r>
        <w:t>Handlers resolve tenant and actor context, authorize, validate, persist and record events. Where reliable publication is required, the outbox record commits in the same database transaction as business state.</w:t>
      </w:r>
    </w:p>
    <w:p>
      <w:pPr>
        <w:pStyle w:val="Heading1"/>
      </w:pPr>
      <w:r>
        <w:t>3. Domain architecture and module boundaries</w:t>
      </w:r>
    </w:p>
    <w:tbl>
      <w:tblPr>
        <w:tblStyle w:val="LightShading-Accent1"/>
        <w:tblW w:type="auto" w:w="0"/>
        <w:jc w:val="center"/>
        <w:tblLook w:firstColumn="1" w:firstRow="1" w:lastColumn="0" w:lastRow="0" w:noHBand="0" w:noVBand="1" w:val="04A0"/>
      </w:tblPr>
      <w:tblGrid>
        <w:gridCol w:w="4882"/>
        <w:gridCol w:w="4882"/>
      </w:tblGrid>
      <w:tr>
        <w:tc>
          <w:tcPr>
            <w:tcW w:type="dxa" w:w="4882"/>
          </w:tcPr>
          <w:p>
            <w:r>
              <w:t>Bounded context</w:t>
            </w:r>
          </w:p>
        </w:tc>
        <w:tc>
          <w:tcPr>
            <w:tcW w:type="dxa" w:w="4882"/>
          </w:tcPr>
          <w:p>
            <w:r>
              <w:t>Ownership</w:t>
            </w:r>
          </w:p>
        </w:tc>
      </w:tr>
      <w:tr>
        <w:tc>
          <w:tcPr>
            <w:tcW w:type="dxa" w:w="4882"/>
          </w:tcPr>
          <w:p>
            <w:r>
              <w:t>Platform</w:t>
            </w:r>
          </w:p>
        </w:tc>
        <w:tc>
          <w:tcPr>
            <w:tcW w:type="dxa" w:w="4882"/>
          </w:tcPr>
          <w:p>
            <w:r>
              <w:t>Tenants, plans, provisioning, entitlements</w:t>
            </w:r>
          </w:p>
        </w:tc>
      </w:tr>
      <w:tr>
        <w:tc>
          <w:tcPr>
            <w:tcW w:type="dxa" w:w="4882"/>
          </w:tcPr>
          <w:p>
            <w:r>
              <w:t>Identity</w:t>
            </w:r>
          </w:p>
        </w:tc>
        <w:tc>
          <w:tcPr>
            <w:tcW w:type="dxa" w:w="4882"/>
          </w:tcPr>
          <w:p>
            <w:r>
              <w:t>Authentication, roles, membership, permissions</w:t>
            </w:r>
          </w:p>
        </w:tc>
      </w:tr>
      <w:tr>
        <w:tc>
          <w:tcPr>
            <w:tcW w:type="dxa" w:w="4882"/>
          </w:tcPr>
          <w:p>
            <w:r>
              <w:t>Organization</w:t>
            </w:r>
          </w:p>
        </w:tc>
        <w:tc>
          <w:tcPr>
            <w:tcW w:type="dxa" w:w="4882"/>
          </w:tcPr>
          <w:p>
            <w:r>
              <w:t>Companies, branches, departments, fiscal configuration</w:t>
            </w:r>
          </w:p>
        </w:tc>
      </w:tr>
      <w:tr>
        <w:tc>
          <w:tcPr>
            <w:tcW w:type="dxa" w:w="4882"/>
          </w:tcPr>
          <w:p>
            <w:r>
              <w:t>Parties</w:t>
            </w:r>
          </w:p>
        </w:tc>
        <w:tc>
          <w:tcPr>
            <w:tcW w:type="dxa" w:w="4882"/>
          </w:tcPr>
          <w:p>
            <w:r>
              <w:t>Customers, suppliers, contacts</w:t>
            </w:r>
          </w:p>
        </w:tc>
      </w:tr>
      <w:tr>
        <w:tc>
          <w:tcPr>
            <w:tcW w:type="dxa" w:w="4882"/>
          </w:tcPr>
          <w:p>
            <w:r>
              <w:t>Catalog</w:t>
            </w:r>
          </w:p>
        </w:tc>
        <w:tc>
          <w:tcPr>
            <w:tcW w:type="dxa" w:w="4882"/>
          </w:tcPr>
          <w:p>
            <w:r>
              <w:t>Products, variants, prices</w:t>
            </w:r>
          </w:p>
        </w:tc>
      </w:tr>
      <w:tr>
        <w:tc>
          <w:tcPr>
            <w:tcW w:type="dxa" w:w="4882"/>
          </w:tcPr>
          <w:p>
            <w:r>
              <w:t>CRM</w:t>
            </w:r>
          </w:p>
        </w:tc>
        <w:tc>
          <w:tcPr>
            <w:tcW w:type="dxa" w:w="4882"/>
          </w:tcPr>
          <w:p>
            <w:r>
              <w:t>Leads, opportunities, activities</w:t>
            </w:r>
          </w:p>
        </w:tc>
      </w:tr>
      <w:tr>
        <w:tc>
          <w:tcPr>
            <w:tcW w:type="dxa" w:w="4882"/>
          </w:tcPr>
          <w:p>
            <w:r>
              <w:t>Sales</w:t>
            </w:r>
          </w:p>
        </w:tc>
        <w:tc>
          <w:tcPr>
            <w:tcW w:type="dxa" w:w="4882"/>
          </w:tcPr>
          <w:p>
            <w:r>
              <w:t>Quotations, orders, fulfillment commitments</w:t>
            </w:r>
          </w:p>
        </w:tc>
      </w:tr>
      <w:tr>
        <w:tc>
          <w:tcPr>
            <w:tcW w:type="dxa" w:w="4882"/>
          </w:tcPr>
          <w:p>
            <w:r>
              <w:t>Finance</w:t>
            </w:r>
          </w:p>
        </w:tc>
        <w:tc>
          <w:tcPr>
            <w:tcW w:type="dxa" w:w="4882"/>
          </w:tcPr>
          <w:p>
            <w:r>
              <w:t>Journals, invoices, payments, reconciliation</w:t>
            </w:r>
          </w:p>
        </w:tc>
      </w:tr>
      <w:tr>
        <w:tc>
          <w:tcPr>
            <w:tcW w:type="dxa" w:w="4882"/>
          </w:tcPr>
          <w:p>
            <w:r>
              <w:t>Procurement</w:t>
            </w:r>
          </w:p>
        </w:tc>
        <w:tc>
          <w:tcPr>
            <w:tcW w:type="dxa" w:w="4882"/>
          </w:tcPr>
          <w:p>
            <w:r>
              <w:t>Requisitions, RFQs, purchase orders</w:t>
            </w:r>
          </w:p>
        </w:tc>
      </w:tr>
      <w:tr>
        <w:tc>
          <w:tcPr>
            <w:tcW w:type="dxa" w:w="4882"/>
          </w:tcPr>
          <w:p>
            <w:r>
              <w:t>Inventory</w:t>
            </w:r>
          </w:p>
        </w:tc>
        <w:tc>
          <w:tcPr>
            <w:tcW w:type="dxa" w:w="4882"/>
          </w:tcPr>
          <w:p>
            <w:r>
              <w:t>Stock ledger, reservations, locations</w:t>
            </w:r>
          </w:p>
        </w:tc>
      </w:tr>
      <w:tr>
        <w:tc>
          <w:tcPr>
            <w:tcW w:type="dxa" w:w="4882"/>
          </w:tcPr>
          <w:p>
            <w:r>
              <w:t>Manufacturing</w:t>
            </w:r>
          </w:p>
        </w:tc>
        <w:tc>
          <w:tcPr>
            <w:tcW w:type="dxa" w:w="4882"/>
          </w:tcPr>
          <w:p>
            <w:r>
              <w:t>BOM, work orders, production</w:t>
            </w:r>
          </w:p>
        </w:tc>
      </w:tr>
      <w:tr>
        <w:tc>
          <w:tcPr>
            <w:tcW w:type="dxa" w:w="4882"/>
          </w:tcPr>
          <w:p>
            <w:r>
              <w:t>HR</w:t>
            </w:r>
          </w:p>
        </w:tc>
        <w:tc>
          <w:tcPr>
            <w:tcW w:type="dxa" w:w="4882"/>
          </w:tcPr>
          <w:p>
            <w:r>
              <w:t>Employees, leave, attendance, payroll</w:t>
            </w:r>
          </w:p>
        </w:tc>
      </w:tr>
      <w:tr>
        <w:tc>
          <w:tcPr>
            <w:tcW w:type="dxa" w:w="4882"/>
          </w:tcPr>
          <w:p>
            <w:r>
              <w:t>Projects</w:t>
            </w:r>
          </w:p>
        </w:tc>
        <w:tc>
          <w:tcPr>
            <w:tcW w:type="dxa" w:w="4882"/>
          </w:tcPr>
          <w:p>
            <w:r>
              <w:t>Tasks, timesheets, field services</w:t>
            </w:r>
          </w:p>
        </w:tc>
      </w:tr>
      <w:tr>
        <w:tc>
          <w:tcPr>
            <w:tcW w:type="dxa" w:w="4882"/>
          </w:tcPr>
          <w:p>
            <w:r>
              <w:t>Communications</w:t>
            </w:r>
          </w:p>
        </w:tc>
        <w:tc>
          <w:tcPr>
            <w:tcW w:type="dxa" w:w="4882"/>
          </w:tcPr>
          <w:p>
            <w:r>
              <w:t>Email, WhatsApp, inbox, conversations</w:t>
            </w:r>
          </w:p>
        </w:tc>
      </w:tr>
      <w:tr>
        <w:tc>
          <w:tcPr>
            <w:tcW w:type="dxa" w:w="4882"/>
          </w:tcPr>
          <w:p>
            <w:r>
              <w:t>Documents</w:t>
            </w:r>
          </w:p>
        </w:tc>
        <w:tc>
          <w:tcPr>
            <w:tcW w:type="dxa" w:w="4882"/>
          </w:tcPr>
          <w:p>
            <w:r>
              <w:t>Files, versions, metadata, approvals</w:t>
            </w:r>
          </w:p>
        </w:tc>
      </w:tr>
      <w:tr>
        <w:tc>
          <w:tcPr>
            <w:tcW w:type="dxa" w:w="4882"/>
          </w:tcPr>
          <w:p>
            <w:r>
              <w:t>Automation</w:t>
            </w:r>
          </w:p>
        </w:tc>
        <w:tc>
          <w:tcPr>
            <w:tcW w:type="dxa" w:w="4882"/>
          </w:tcPr>
          <w:p>
            <w:r>
              <w:t>Workflow triggers, approvals, execution</w:t>
            </w:r>
          </w:p>
        </w:tc>
      </w:tr>
      <w:tr>
        <w:tc>
          <w:tcPr>
            <w:tcW w:type="dxa" w:w="4882"/>
          </w:tcPr>
          <w:p>
            <w:r>
              <w:t>Analytics</w:t>
            </w:r>
          </w:p>
        </w:tc>
        <w:tc>
          <w:tcPr>
            <w:tcW w:type="dxa" w:w="4882"/>
          </w:tcPr>
          <w:p>
            <w:r>
              <w:t>Governed reports and read models</w:t>
            </w:r>
          </w:p>
        </w:tc>
      </w:tr>
      <w:tr>
        <w:tc>
          <w:tcPr>
            <w:tcW w:type="dxa" w:w="4882"/>
          </w:tcPr>
          <w:p>
            <w:r>
              <w:t>AI</w:t>
            </w:r>
          </w:p>
        </w:tc>
        <w:tc>
          <w:tcPr>
            <w:tcW w:type="dxa" w:w="4882"/>
          </w:tcPr>
          <w:p>
            <w:r>
              <w:t>AI policies, orchestration requests, approvals</w:t>
            </w:r>
          </w:p>
        </w:tc>
      </w:tr>
    </w:tbl>
    <w:p/>
    <w:p>
      <w:pPr>
        <w:pStyle w:val="Heading2"/>
      </w:pPr>
      <w:r>
        <w:t>3.1 Module integration rules</w:t>
      </w:r>
    </w:p>
    <w:p>
      <w:pPr>
        <w:pStyle w:val="ListBullet"/>
      </w:pPr>
      <w:r>
        <w:t>A module may not directly update another module’s private tables.</w:t>
      </w:r>
    </w:p>
    <w:p>
      <w:pPr>
        <w:pStyle w:val="ListBullet"/>
      </w:pPr>
      <w:r>
        <w:t>Cross-module synchronous operations use public application contracts; async operations use versioned events.</w:t>
      </w:r>
    </w:p>
    <w:p>
      <w:pPr>
        <w:pStyle w:val="ListBullet"/>
      </w:pPr>
      <w:r>
        <w:t>No module may bypass the central authorization or tenant context mechanisms.</w:t>
      </w:r>
    </w:p>
    <w:p>
      <w:pPr>
        <w:pStyle w:val="ListBullet"/>
      </w:pPr>
      <w:r>
        <w:t>Publish stable identifiers and DTOs rather than leaking Eloquent internals.</w:t>
      </w:r>
    </w:p>
    <w:p>
      <w:pPr>
        <w:pStyle w:val="ListBullet"/>
      </w:pPr>
      <w:r>
        <w:t>Use an orchestrated process manager for long-running workflows with explicit failure and compensation states.</w:t>
      </w:r>
    </w:p>
    <w:p>
      <w:pPr>
        <w:pStyle w:val="ListBullet"/>
      </w:pPr>
      <w:r>
        <w:t>Define dependency manifests and validate installation/upgrade compatibility.</w:t>
      </w:r>
    </w:p>
    <w:p>
      <w:pPr>
        <w:pStyle w:val="Heading2"/>
      </w:pPr>
      <w:r>
        <w:t>3.2 Representative workflows</w:t>
      </w:r>
    </w:p>
    <w:p>
      <w:r>
        <w:t>Sales-to-invoice: confirmation creates an authorized order and event; downstream fulfillment and invoicing validate their own business rules and deduplicate retries. Procurement-to-stock: authorized receipt drives an idempotent inventory movement; finance applies approved valuation rules. Manufacturing: reserve inputs, consume, record output and costs, and support partial completion.</w:t>
      </w:r>
    </w:p>
    <w:p>
      <w:pPr>
        <w:pStyle w:val="Heading1"/>
      </w:pPr>
      <w:r>
        <w:t>4. Tenant and database architecture</w:t>
      </w:r>
    </w:p>
    <w:p>
      <w:r>
        <w:drawing>
          <wp:inline xmlns:a="http://schemas.openxmlformats.org/drawingml/2006/main" xmlns:pic="http://schemas.openxmlformats.org/drawingml/2006/picture">
            <wp:extent cx="6126480" cy="2950921"/>
            <wp:docPr id="4" name="Picture 4"/>
            <wp:cNvGraphicFramePr>
              <a:graphicFrameLocks noChangeAspect="1"/>
            </wp:cNvGraphicFramePr>
            <a:graphic>
              <a:graphicData uri="http://schemas.openxmlformats.org/drawingml/2006/picture">
                <pic:pic>
                  <pic:nvPicPr>
                    <pic:cNvPr id="0" name="tenant_topology.png"/>
                    <pic:cNvPicPr/>
                  </pic:nvPicPr>
                  <pic:blipFill>
                    <a:blip r:embed="rId12"/>
                    <a:stretch>
                      <a:fillRect/>
                    </a:stretch>
                  </pic:blipFill>
                  <pic:spPr>
                    <a:xfrm>
                      <a:off x="0" y="0"/>
                      <a:ext cx="6126480" cy="2950921"/>
                    </a:xfrm>
                    <a:prstGeom prst="rect"/>
                  </pic:spPr>
                </pic:pic>
              </a:graphicData>
            </a:graphic>
          </wp:inline>
        </w:drawing>
      </w:r>
    </w:p>
    <w:p>
      <w:pPr>
        <w:jc w:val="center"/>
      </w:pPr>
      <w:r>
        <w:rPr>
          <w:i/>
          <w:sz w:val="16"/>
        </w:rPr>
        <w:t>Figure 4. Platform database, tenant resolution and data isolation.</w:t>
      </w:r>
    </w:p>
    <w:p>
      <w:pPr>
        <w:pStyle w:val="Heading2"/>
      </w:pPr>
      <w:r>
        <w:t>4.1 Tenant request lifecycle</w:t>
      </w:r>
    </w:p>
    <w:p>
      <w:pPr>
        <w:pStyle w:val="ListBullet"/>
      </w:pPr>
      <w:r>
        <w:t>Resolve tenant from trusted host/routing metadata.</w:t>
      </w:r>
    </w:p>
    <w:p>
      <w:pPr>
        <w:pStyle w:val="ListBullet"/>
      </w:pPr>
      <w:r>
        <w:t>Authenticate the principal and validate tenant membership.</w:t>
      </w:r>
    </w:p>
    <w:p>
      <w:pPr>
        <w:pStyle w:val="ListBullet"/>
      </w:pPr>
      <w:r>
        <w:t>Check tenant lifecycle, company scope and entitlements.</w:t>
      </w:r>
    </w:p>
    <w:p>
      <w:pPr>
        <w:pStyle w:val="ListBullet"/>
      </w:pPr>
      <w:r>
        <w:t>Bind an isolated tenant database connection.</w:t>
      </w:r>
    </w:p>
    <w:p>
      <w:pPr>
        <w:pStyle w:val="ListBullet"/>
      </w:pPr>
      <w:r>
        <w:t>Execute authorized application operations.</w:t>
      </w:r>
    </w:p>
    <w:p>
      <w:pPr>
        <w:pStyle w:val="ListBullet"/>
      </w:pPr>
      <w:r>
        <w:t>Clear tenant context on request completion and every queue job.</w:t>
      </w:r>
    </w:p>
    <w:p>
      <w:pPr>
        <w:pStyle w:val="Heading2"/>
      </w:pPr>
      <w:r>
        <w:t>4.2 Data integrity</w:t>
      </w:r>
    </w:p>
    <w:p>
      <w:r>
        <w:t>Use UUID-based public identifiers and separate company-scoped document numbers. Use PostgreSQL NUMERIC for currency and stock quantities, explicit rounding and unit conversion policies, foreign keys, uniqueness constraints, and appropriate locking. Posted journal and stock histories must be append-only or preserve equivalent immutable audit trails; corrections use reversals or adjustments.</w:t>
      </w:r>
    </w:p>
    <w:p>
      <w:pPr>
        <w:pStyle w:val="Heading2"/>
      </w:pPr>
      <w:r>
        <w:t>4.3 Migration and backup strategy</w:t>
      </w:r>
    </w:p>
    <w:p>
      <w:r>
        <w:t>Use controlled tenant-by-tenant migrations with version tracking, locks, failure reporting and expand/contract compatibility. Separate large backfills from schema releases. Backups must cover tenant databases and object storage consistently; restore tests must prove recovery, not merely confirm backup jobs ran.</w:t>
      </w:r>
    </w:p>
    <w:p>
      <w:pPr>
        <w:pStyle w:val="Heading1"/>
      </w:pPr>
      <w:r>
        <w:t>5. Laravel backend design</w:t>
      </w:r>
    </w:p>
    <w:p>
      <w:pPr>
        <w:pStyle w:val="NoSpacing"/>
      </w:pPr>
      <w:r>
        <w:rPr>
          <w:rFonts w:ascii="Consolas" w:hAnsi="Consolas"/>
          <w:sz w:val="14"/>
        </w:rPr>
        <w:t>backend/app/</w:t>
      </w:r>
    </w:p>
    <w:p>
      <w:pPr>
        <w:pStyle w:val="NoSpacing"/>
      </w:pPr>
      <w:r>
        <w:rPr>
          <w:rFonts w:ascii="Consolas" w:hAnsi="Consolas"/>
          <w:sz w:val="14"/>
        </w:rPr>
        <w:t xml:space="preserve">  Platform/{Tenancy,Identity,Subscriptions,Provisioning,ModuleRegistry}/</w:t>
      </w:r>
    </w:p>
    <w:p>
      <w:pPr>
        <w:pStyle w:val="NoSpacing"/>
      </w:pPr>
      <w:r>
        <w:rPr>
          <w:rFonts w:ascii="Consolas" w:hAnsi="Consolas"/>
          <w:sz w:val="14"/>
        </w:rPr>
        <w:t xml:space="preserve">  Shared/{Auth,Audit,Events,Money,Contracts}/</w:t>
      </w:r>
    </w:p>
    <w:p>
      <w:pPr>
        <w:pStyle w:val="NoSpacing"/>
      </w:pPr>
      <w:r>
        <w:rPr>
          <w:rFonts w:ascii="Consolas" w:hAnsi="Consolas"/>
          <w:sz w:val="14"/>
        </w:rPr>
        <w:t xml:space="preserve">  Modules/{Parties,Catalog,CRM,Sales,Finance,Procurement,Inventory,...}/</w:t>
      </w:r>
    </w:p>
    <w:p>
      <w:pPr>
        <w:pStyle w:val="NoSpacing"/>
      </w:pPr>
      <w:r>
        <w:rPr>
          <w:rFonts w:ascii="Consolas" w:hAnsi="Consolas"/>
          <w:sz w:val="14"/>
        </w:rPr>
        <w:t>backend/{routes,database,tests,config}/</w:t>
      </w:r>
    </w:p>
    <w:p>
      <w:r>
        <w:t>Each module follows Domain / Application / Infrastructure / Presentation layers with dedicated migrations, tests, module manifest and README as justified by complexity. Controllers stay thin; business logic belongs to domain/application services. Eloquent is a persistence tool, not an unrestricted cross-module interface.</w:t>
      </w:r>
    </w:p>
    <w:p>
      <w:pPr>
        <w:pStyle w:val="Heading2"/>
      </w:pPr>
      <w:r>
        <w:t>5.1 Backend requirements</w:t>
      </w:r>
    </w:p>
    <w:tbl>
      <w:tblPr>
        <w:tblStyle w:val="LightShading-Accent1"/>
        <w:tblW w:type="auto" w:w="0"/>
        <w:jc w:val="center"/>
        <w:tblLook w:firstColumn="1" w:firstRow="1" w:lastColumn="0" w:lastRow="0" w:noHBand="0" w:noVBand="1" w:val="04A0"/>
      </w:tblPr>
      <w:tblGrid>
        <w:gridCol w:w="4882"/>
        <w:gridCol w:w="4882"/>
      </w:tblGrid>
      <w:tr>
        <w:tc>
          <w:tcPr>
            <w:tcW w:type="dxa" w:w="4882"/>
          </w:tcPr>
          <w:p>
            <w:r>
              <w:t>ID</w:t>
            </w:r>
          </w:p>
        </w:tc>
        <w:tc>
          <w:tcPr>
            <w:tcW w:type="dxa" w:w="4882"/>
          </w:tcPr>
          <w:p>
            <w:r>
              <w:t>Architectural control</w:t>
            </w:r>
          </w:p>
        </w:tc>
      </w:tr>
      <w:tr>
        <w:tc>
          <w:tcPr>
            <w:tcW w:type="dxa" w:w="4882"/>
          </w:tcPr>
          <w:p>
            <w:r>
              <w:t>ARC-BE-001</w:t>
            </w:r>
          </w:p>
        </w:tc>
        <w:tc>
          <w:tcPr>
            <w:tcW w:type="dxa" w:w="4882"/>
          </w:tcPr>
          <w:p>
            <w:r>
              <w:t>Thin controllers; use-case services</w:t>
            </w:r>
          </w:p>
        </w:tc>
      </w:tr>
      <w:tr>
        <w:tc>
          <w:tcPr>
            <w:tcW w:type="dxa" w:w="4882"/>
          </w:tcPr>
          <w:p>
            <w:r>
              <w:t>ARC-BE-002</w:t>
            </w:r>
          </w:p>
        </w:tc>
        <w:tc>
          <w:tcPr>
            <w:tcW w:type="dxa" w:w="4882"/>
          </w:tcPr>
          <w:p>
            <w:r>
              <w:t>Server-enforced business invariants</w:t>
            </w:r>
          </w:p>
        </w:tc>
      </w:tr>
      <w:tr>
        <w:tc>
          <w:tcPr>
            <w:tcW w:type="dxa" w:w="4882"/>
          </w:tcPr>
          <w:p>
            <w:r>
              <w:t>ARC-BE-003</w:t>
            </w:r>
          </w:p>
        </w:tc>
        <w:tc>
          <w:tcPr>
            <w:tcW w:type="dxa" w:w="4882"/>
          </w:tcPr>
          <w:p>
            <w:r>
              <w:t>Verified tenant and actor context</w:t>
            </w:r>
          </w:p>
        </w:tc>
      </w:tr>
      <w:tr>
        <w:tc>
          <w:tcPr>
            <w:tcW w:type="dxa" w:w="4882"/>
          </w:tcPr>
          <w:p>
            <w:r>
              <w:t>ARC-BE-004</w:t>
            </w:r>
          </w:p>
        </w:tc>
        <w:tc>
          <w:tcPr>
            <w:tcW w:type="dxa" w:w="4882"/>
          </w:tcPr>
          <w:p>
            <w:r>
              <w:t>No undocumented private-table coupling</w:t>
            </w:r>
          </w:p>
        </w:tc>
      </w:tr>
      <w:tr>
        <w:tc>
          <w:tcPr>
            <w:tcW w:type="dxa" w:w="4882"/>
          </w:tcPr>
          <w:p>
            <w:r>
              <w:t>ARC-BE-005</w:t>
            </w:r>
          </w:p>
        </w:tc>
        <w:tc>
          <w:tcPr>
            <w:tcW w:type="dxa" w:w="4882"/>
          </w:tcPr>
          <w:p>
            <w:r>
              <w:t>Explicit financial and stock transactions</w:t>
            </w:r>
          </w:p>
        </w:tc>
      </w:tr>
      <w:tr>
        <w:tc>
          <w:tcPr>
            <w:tcW w:type="dxa" w:w="4882"/>
          </w:tcPr>
          <w:p>
            <w:r>
              <w:t>ARC-BE-006</w:t>
            </w:r>
          </w:p>
        </w:tc>
        <w:tc>
          <w:tcPr>
            <w:tcW w:type="dxa" w:w="4882"/>
          </w:tcPr>
          <w:p>
            <w:r>
              <w:t>Retryable and idempotent background jobs</w:t>
            </w:r>
          </w:p>
        </w:tc>
      </w:tr>
      <w:tr>
        <w:tc>
          <w:tcPr>
            <w:tcW w:type="dxa" w:w="4882"/>
          </w:tcPr>
          <w:p>
            <w:r>
              <w:t>ARC-BE-007</w:t>
            </w:r>
          </w:p>
        </w:tc>
        <w:tc>
          <w:tcPr>
            <w:tcW w:type="dxa" w:w="4882"/>
          </w:tcPr>
          <w:p>
            <w:r>
              <w:t>Versioned REST and response contracts</w:t>
            </w:r>
          </w:p>
        </w:tc>
      </w:tr>
      <w:tr>
        <w:tc>
          <w:tcPr>
            <w:tcW w:type="dxa" w:w="4882"/>
          </w:tcPr>
          <w:p>
            <w:r>
              <w:t>ARC-BE-008</w:t>
            </w:r>
          </w:p>
        </w:tc>
        <w:tc>
          <w:tcPr>
            <w:tcW w:type="dxa" w:w="4882"/>
          </w:tcPr>
          <w:p>
            <w:r>
              <w:t>Reliable critical event publication</w:t>
            </w:r>
          </w:p>
        </w:tc>
      </w:tr>
      <w:tr>
        <w:tc>
          <w:tcPr>
            <w:tcW w:type="dxa" w:w="4882"/>
          </w:tcPr>
          <w:p>
            <w:r>
              <w:t>ARC-BE-009</w:t>
            </w:r>
          </w:p>
        </w:tc>
        <w:tc>
          <w:tcPr>
            <w:tcW w:type="dxa" w:w="4882"/>
          </w:tcPr>
          <w:p>
            <w:r>
              <w:t>Validated module dependencies</w:t>
            </w:r>
          </w:p>
        </w:tc>
      </w:tr>
      <w:tr>
        <w:tc>
          <w:tcPr>
            <w:tcW w:type="dxa" w:w="4882"/>
          </w:tcPr>
          <w:p>
            <w:r>
              <w:t>ARC-BE-010</w:t>
            </w:r>
          </w:p>
        </w:tc>
        <w:tc>
          <w:tcPr>
            <w:tcW w:type="dxa" w:w="4882"/>
          </w:tcPr>
          <w:p>
            <w:r>
              <w:t>Structured redacted error logging</w:t>
            </w:r>
          </w:p>
        </w:tc>
      </w:tr>
    </w:tbl>
    <w:p/>
    <w:p>
      <w:pPr>
        <w:pStyle w:val="Heading2"/>
      </w:pPr>
      <w:r>
        <w:t>5.2 API conventions</w:t>
      </w:r>
    </w:p>
    <w:p>
      <w:pPr>
        <w:pStyle w:val="NoSpacing"/>
      </w:pPr>
      <w:r>
        <w:rPr>
          <w:rFonts w:ascii="Consolas" w:hAnsi="Consolas"/>
          <w:sz w:val="14"/>
        </w:rPr>
        <w:t>/api/v1/me</w:t>
      </w:r>
    </w:p>
    <w:p>
      <w:pPr>
        <w:pStyle w:val="NoSpacing"/>
      </w:pPr>
      <w:r>
        <w:rPr>
          <w:rFonts w:ascii="Consolas" w:hAnsi="Consolas"/>
          <w:sz w:val="14"/>
        </w:rPr>
        <w:t>/api/v1/companies</w:t>
      </w:r>
    </w:p>
    <w:p>
      <w:pPr>
        <w:pStyle w:val="NoSpacing"/>
      </w:pPr>
      <w:r>
        <w:rPr>
          <w:rFonts w:ascii="Consolas" w:hAnsi="Consolas"/>
          <w:sz w:val="14"/>
        </w:rPr>
        <w:t>/api/v1/crm/leads</w:t>
      </w:r>
    </w:p>
    <w:p>
      <w:pPr>
        <w:pStyle w:val="NoSpacing"/>
      </w:pPr>
      <w:r>
        <w:rPr>
          <w:rFonts w:ascii="Consolas" w:hAnsi="Consolas"/>
          <w:sz w:val="14"/>
        </w:rPr>
        <w:t>/api/v1/sales/orders</w:t>
      </w:r>
    </w:p>
    <w:p>
      <w:pPr>
        <w:pStyle w:val="NoSpacing"/>
      </w:pPr>
      <w:r>
        <w:rPr>
          <w:rFonts w:ascii="Consolas" w:hAnsi="Consolas"/>
          <w:sz w:val="14"/>
        </w:rPr>
        <w:t>/api/v1/finance/invoices</w:t>
      </w:r>
    </w:p>
    <w:p>
      <w:pPr>
        <w:pStyle w:val="NoSpacing"/>
      </w:pPr>
      <w:r>
        <w:rPr>
          <w:rFonts w:ascii="Consolas" w:hAnsi="Consolas"/>
          <w:sz w:val="14"/>
        </w:rPr>
        <w:t>/api/v1/inventory/stock-movements</w:t>
      </w:r>
    </w:p>
    <w:p>
      <w:pPr>
        <w:pStyle w:val="NoSpacing"/>
      </w:pPr>
      <w:r>
        <w:rPr>
          <w:rFonts w:ascii="Consolas" w:hAnsi="Consolas"/>
          <w:sz w:val="14"/>
        </w:rPr>
        <w:t>/api/v1/communications/conversations</w:t>
      </w:r>
    </w:p>
    <w:p>
      <w:r>
        <w:t>Standardize pagination, filters, error envelopes, correlation IDs, rate limits, API authorization and idempotency keys for repeated write operations. Maintain OpenAPI contracts and compatibility tests.</w:t>
      </w:r>
    </w:p>
    <w:p>
      <w:pPr>
        <w:pStyle w:val="Heading1"/>
      </w:pPr>
      <w:r>
        <w:t>6. React / TypeScript / Inertia architecture</w:t>
      </w:r>
    </w:p>
    <w:p>
      <w:r>
        <w:t>The ERP web app uses React, TypeScript, Inertia.js, Vite and Tailwind. Select one canonical frontend source location during M00; do not create a competing React app alongside Laravel resources. Group frontend features by bounded context; share accessible UI primitives, tables, forms, charts, feedback and navigation.</w:t>
      </w:r>
    </w:p>
    <w:p>
      <w:pPr>
        <w:pStyle w:val="NoSpacing"/>
      </w:pPr>
      <w:r>
        <w:rPr>
          <w:rFonts w:ascii="Consolas" w:hAnsi="Consolas"/>
          <w:sz w:val="14"/>
        </w:rPr>
        <w:t>erp-web/src/{app,components,features,hooks,lib,services,types,styles}/</w:t>
      </w:r>
    </w:p>
    <w:p>
      <w:pPr>
        <w:pStyle w:val="NoSpacing"/>
      </w:pPr>
      <w:r>
        <w:rPr>
          <w:rFonts w:ascii="Consolas" w:hAnsi="Consolas"/>
          <w:sz w:val="14"/>
        </w:rPr>
        <w:t>features/{crm,sales,finance,inventory,...}/</w:t>
      </w:r>
    </w:p>
    <w:p>
      <w:r>
        <w:t>UI requirements include a responsive shell, permission-aware navigation, company switcher, reusable list/form/Kanban/calendar views, global search, keyboard accessibility, light/dark themes, localization-ready formatting, and clear loading/empty/error states. UI permission hiding never replaces server authorization.</w:t>
      </w:r>
    </w:p>
    <w:p>
      <w:r>
        <w:t>Figma wireframes: https://meta-drawn-18880799.figma.site. Validate all design assumptions against actual business workflows and the requirements before implementation.</w:t>
      </w:r>
    </w:p>
    <w:p>
      <w:pPr>
        <w:pStyle w:val="Heading1"/>
      </w:pPr>
      <w:r>
        <w:t>7. AI orchestration</w:t>
      </w:r>
    </w:p>
    <w:p>
      <w:r>
        <w:drawing>
          <wp:inline xmlns:a="http://schemas.openxmlformats.org/drawingml/2006/main" xmlns:pic="http://schemas.openxmlformats.org/drawingml/2006/picture">
            <wp:extent cx="6126480" cy="2950921"/>
            <wp:docPr id="5" name="Picture 5"/>
            <wp:cNvGraphicFramePr>
              <a:graphicFrameLocks noChangeAspect="1"/>
            </wp:cNvGraphicFramePr>
            <a:graphic>
              <a:graphicData uri="http://schemas.openxmlformats.org/drawingml/2006/picture">
                <pic:pic>
                  <pic:nvPicPr>
                    <pic:cNvPr id="0" name="ai_flow.png"/>
                    <pic:cNvPicPr/>
                  </pic:nvPicPr>
                  <pic:blipFill>
                    <a:blip r:embed="rId13"/>
                    <a:stretch>
                      <a:fillRect/>
                    </a:stretch>
                  </pic:blipFill>
                  <pic:spPr>
                    <a:xfrm>
                      <a:off x="0" y="0"/>
                      <a:ext cx="6126480" cy="2950921"/>
                    </a:xfrm>
                    <a:prstGeom prst="rect"/>
                  </pic:spPr>
                </pic:pic>
              </a:graphicData>
            </a:graphic>
          </wp:inline>
        </w:drawing>
      </w:r>
    </w:p>
    <w:p>
      <w:pPr>
        <w:jc w:val="center"/>
      </w:pPr>
      <w:r>
        <w:rPr>
          <w:i/>
          <w:sz w:val="16"/>
        </w:rPr>
        <w:t>Figure 5. AI execution trust boundary and tool governance.</w:t>
      </w:r>
    </w:p>
    <w:p>
      <w:r>
        <w:t>AI requests originate from authenticated ERP contexts. Laravel verifies tenant, actor, permissions, entitlements and budgets; FastAPI orchestrates approved models, retrieval and structured outputs. Every read/write tool is reauthorized by the ERP gateway. High-impact actions require explicit approval. No direct AI-to-tenant-database credentials are permitted.</w:t>
      </w:r>
    </w:p>
    <w:tbl>
      <w:tblPr>
        <w:tblStyle w:val="LightShading-Accent1"/>
        <w:tblW w:type="auto" w:w="0"/>
        <w:jc w:val="center"/>
        <w:tblLook w:firstColumn="1" w:firstRow="1" w:lastColumn="0" w:lastRow="0" w:noHBand="0" w:noVBand="1" w:val="04A0"/>
      </w:tblPr>
      <w:tblGrid>
        <w:gridCol w:w="4882"/>
        <w:gridCol w:w="4882"/>
      </w:tblGrid>
      <w:tr>
        <w:tc>
          <w:tcPr>
            <w:tcW w:type="dxa" w:w="4882"/>
          </w:tcPr>
          <w:p>
            <w:r>
              <w:t>Risk</w:t>
            </w:r>
          </w:p>
        </w:tc>
        <w:tc>
          <w:tcPr>
            <w:tcW w:type="dxa" w:w="4882"/>
          </w:tcPr>
          <w:p>
            <w:r>
              <w:t>Required mitigation</w:t>
            </w:r>
          </w:p>
        </w:tc>
      </w:tr>
      <w:tr>
        <w:tc>
          <w:tcPr>
            <w:tcW w:type="dxa" w:w="4882"/>
          </w:tcPr>
          <w:p>
            <w:r>
              <w:t>Prompt injection</w:t>
            </w:r>
          </w:p>
        </w:tc>
        <w:tc>
          <w:tcPr>
            <w:tcW w:type="dxa" w:w="4882"/>
          </w:tcPr>
          <w:p>
            <w:r>
              <w:t>Untrusted retrieval; independent tool authorization</w:t>
            </w:r>
          </w:p>
        </w:tc>
      </w:tr>
      <w:tr>
        <w:tc>
          <w:tcPr>
            <w:tcW w:type="dxa" w:w="4882"/>
          </w:tcPr>
          <w:p>
            <w:r>
              <w:t>Cross-tenant data exposure</w:t>
            </w:r>
          </w:p>
        </w:tc>
        <w:tc>
          <w:tcPr>
            <w:tcW w:type="dxa" w:w="4882"/>
          </w:tcPr>
          <w:p>
            <w:r>
              <w:t>Tenant-scoped retrieval and API policies</w:t>
            </w:r>
          </w:p>
        </w:tc>
      </w:tr>
      <w:tr>
        <w:tc>
          <w:tcPr>
            <w:tcW w:type="dxa" w:w="4882"/>
          </w:tcPr>
          <w:p>
            <w:r>
              <w:t>Sensitive data leakage</w:t>
            </w:r>
          </w:p>
        </w:tc>
        <w:tc>
          <w:tcPr>
            <w:tcW w:type="dxa" w:w="4882"/>
          </w:tcPr>
          <w:p>
            <w:r>
              <w:t>Minimization, approved provider handling</w:t>
            </w:r>
          </w:p>
        </w:tc>
      </w:tr>
      <w:tr>
        <w:tc>
          <w:tcPr>
            <w:tcW w:type="dxa" w:w="4882"/>
          </w:tcPr>
          <w:p>
            <w:r>
              <w:t>Unauthorized writes</w:t>
            </w:r>
          </w:p>
        </w:tc>
        <w:tc>
          <w:tcPr>
            <w:tcW w:type="dxa" w:w="4882"/>
          </w:tcPr>
          <w:p>
            <w:r>
              <w:t>Approval and deterministic domain checks</w:t>
            </w:r>
          </w:p>
        </w:tc>
      </w:tr>
      <w:tr>
        <w:tc>
          <w:tcPr>
            <w:tcW w:type="dxa" w:w="4882"/>
          </w:tcPr>
          <w:p>
            <w:r>
              <w:t>Hallucinated metrics</w:t>
            </w:r>
          </w:p>
        </w:tc>
        <w:tc>
          <w:tcPr>
            <w:tcW w:type="dxa" w:w="4882"/>
          </w:tcPr>
          <w:p>
            <w:r>
              <w:t>Traceable structured calculations</w:t>
            </w:r>
          </w:p>
        </w:tc>
      </w:tr>
      <w:tr>
        <w:tc>
          <w:tcPr>
            <w:tcW w:type="dxa" w:w="4882"/>
          </w:tcPr>
          <w:p>
            <w:r>
              <w:t>Model outage/cost</w:t>
            </w:r>
          </w:p>
        </w:tc>
        <w:tc>
          <w:tcPr>
            <w:tcW w:type="dxa" w:w="4882"/>
          </w:tcPr>
          <w:p>
            <w:r>
              <w:t>Circuit breakers, quotas, fallback</w:t>
            </w:r>
          </w:p>
        </w:tc>
      </w:tr>
    </w:tbl>
    <w:p/>
    <w:p>
      <w:pPr>
        <w:pStyle w:val="Heading1"/>
      </w:pPr>
      <w:r>
        <w:t>8. Official WhatsApp Business integration</w:t>
      </w:r>
    </w:p>
    <w:p>
      <w:r>
        <w:drawing>
          <wp:inline xmlns:a="http://schemas.openxmlformats.org/drawingml/2006/main" xmlns:pic="http://schemas.openxmlformats.org/drawingml/2006/picture">
            <wp:extent cx="6126480" cy="2950921"/>
            <wp:docPr id="6" name="Picture 6"/>
            <wp:cNvGraphicFramePr>
              <a:graphicFrameLocks noChangeAspect="1"/>
            </wp:cNvGraphicFramePr>
            <a:graphic>
              <a:graphicData uri="http://schemas.openxmlformats.org/drawingml/2006/picture">
                <pic:pic>
                  <pic:nvPicPr>
                    <pic:cNvPr id="0" name="whatsapp_flow.png"/>
                    <pic:cNvPicPr/>
                  </pic:nvPicPr>
                  <pic:blipFill>
                    <a:blip r:embed="rId14"/>
                    <a:stretch>
                      <a:fillRect/>
                    </a:stretch>
                  </pic:blipFill>
                  <pic:spPr>
                    <a:xfrm>
                      <a:off x="0" y="0"/>
                      <a:ext cx="6126480" cy="2950921"/>
                    </a:xfrm>
                    <a:prstGeom prst="rect"/>
                  </pic:spPr>
                </pic:pic>
              </a:graphicData>
            </a:graphic>
          </wp:inline>
        </w:drawing>
      </w:r>
    </w:p>
    <w:p>
      <w:pPr>
        <w:jc w:val="center"/>
      </w:pPr>
      <w:r>
        <w:rPr>
          <w:i/>
          <w:sz w:val="16"/>
        </w:rPr>
        <w:t>Figure 6. Official provider webhook and communications flow.</w:t>
      </w:r>
    </w:p>
    <w:p>
      <w:r>
        <w:t>Use Meta WhatsApp Business Platform Cloud API or an authorized provider, with current supported API versions and policy checks at implementation. Validate webhook signatures and map registered business number identifiers to authorized tenants. Deduplicate inbound events; queue processing; maintain conversation/message/template/consent/delivery records. For outbound messages enforce opt-in, approved templates and applicable messaging windows.</w:t>
      </w:r>
    </w:p>
    <w:p>
      <w:pPr>
        <w:pStyle w:val="Heading1"/>
      </w:pPr>
      <w:r>
        <w:t>9. Event-driven integration</w:t>
      </w:r>
    </w:p>
    <w:p>
      <w:r>
        <w:drawing>
          <wp:inline xmlns:a="http://schemas.openxmlformats.org/drawingml/2006/main" xmlns:pic="http://schemas.openxmlformats.org/drawingml/2006/picture">
            <wp:extent cx="6126480" cy="2950921"/>
            <wp:docPr id="7" name="Picture 7"/>
            <wp:cNvGraphicFramePr>
              <a:graphicFrameLocks noChangeAspect="1"/>
            </wp:cNvGraphicFramePr>
            <a:graphic>
              <a:graphicData uri="http://schemas.openxmlformats.org/drawingml/2006/picture">
                <pic:pic>
                  <pic:nvPicPr>
                    <pic:cNvPr id="0" name="event_flow.png"/>
                    <pic:cNvPicPr/>
                  </pic:nvPicPr>
                  <pic:blipFill>
                    <a:blip r:embed="rId15"/>
                    <a:stretch>
                      <a:fillRect/>
                    </a:stretch>
                  </pic:blipFill>
                  <pic:spPr>
                    <a:xfrm>
                      <a:off x="0" y="0"/>
                      <a:ext cx="6126480" cy="2950921"/>
                    </a:xfrm>
                    <a:prstGeom prst="rect"/>
                  </pic:spPr>
                </pic:pic>
              </a:graphicData>
            </a:graphic>
          </wp:inline>
        </w:drawing>
      </w:r>
    </w:p>
    <w:p>
      <w:pPr>
        <w:jc w:val="center"/>
      </w:pPr>
      <w:r>
        <w:rPr>
          <w:i/>
          <w:sz w:val="16"/>
        </w:rPr>
        <w:t>Figure 7. Transactional outbox, queue and idempotent consumer.</w:t>
      </w:r>
    </w:p>
    <w:p>
      <w:r>
        <w:t>Delivery semantics are at-least-once. Outbox rows commit atomically with business transactions; a dispatcher publishes them to Redis-backed queues. Consumers validate schema/version/tenant and record processed event IDs. Retry transient errors with bounded exponential backoff; classify permanent failures; expose dead-letter replay and monitoring.</w:t>
      </w:r>
    </w:p>
    <w:p>
      <w:pPr>
        <w:pStyle w:val="NoSpacing"/>
      </w:pPr>
      <w:r>
        <w:rPr>
          <w:rFonts w:ascii="Consolas" w:hAnsi="Consolas"/>
          <w:sz w:val="14"/>
        </w:rPr>
        <w:t>{</w:t>
      </w:r>
    </w:p>
    <w:p>
      <w:pPr>
        <w:pStyle w:val="NoSpacing"/>
      </w:pPr>
      <w:r>
        <w:rPr>
          <w:rFonts w:ascii="Consolas" w:hAnsi="Consolas"/>
          <w:sz w:val="14"/>
        </w:rPr>
        <w:t xml:space="preserve">  "event_id": "&lt;uuid&gt;",</w:t>
      </w:r>
    </w:p>
    <w:p>
      <w:pPr>
        <w:pStyle w:val="NoSpacing"/>
      </w:pPr>
      <w:r>
        <w:rPr>
          <w:rFonts w:ascii="Consolas" w:hAnsi="Consolas"/>
          <w:sz w:val="14"/>
        </w:rPr>
        <w:t xml:space="preserve">  "event_type": "sales.order.confirmed",</w:t>
      </w:r>
    </w:p>
    <w:p>
      <w:pPr>
        <w:pStyle w:val="NoSpacing"/>
      </w:pPr>
      <w:r>
        <w:rPr>
          <w:rFonts w:ascii="Consolas" w:hAnsi="Consolas"/>
          <w:sz w:val="14"/>
        </w:rPr>
        <w:t xml:space="preserve">  "event_version": 1,</w:t>
      </w:r>
    </w:p>
    <w:p>
      <w:pPr>
        <w:pStyle w:val="NoSpacing"/>
      </w:pPr>
      <w:r>
        <w:rPr>
          <w:rFonts w:ascii="Consolas" w:hAnsi="Consolas"/>
          <w:sz w:val="14"/>
        </w:rPr>
        <w:t xml:space="preserve">  "tenant_id": "&lt;uuid&gt;",</w:t>
      </w:r>
    </w:p>
    <w:p>
      <w:pPr>
        <w:pStyle w:val="NoSpacing"/>
      </w:pPr>
      <w:r>
        <w:rPr>
          <w:rFonts w:ascii="Consolas" w:hAnsi="Consolas"/>
          <w:sz w:val="14"/>
        </w:rPr>
        <w:t xml:space="preserve">  "aggregate_id": "&lt;uuid&gt;",</w:t>
      </w:r>
    </w:p>
    <w:p>
      <w:pPr>
        <w:pStyle w:val="NoSpacing"/>
      </w:pPr>
      <w:r>
        <w:rPr>
          <w:rFonts w:ascii="Consolas" w:hAnsi="Consolas"/>
          <w:sz w:val="14"/>
        </w:rPr>
        <w:t xml:space="preserve">  "correlation_id": "&lt;id&gt;",</w:t>
      </w:r>
    </w:p>
    <w:p>
      <w:pPr>
        <w:pStyle w:val="NoSpacing"/>
      </w:pPr>
      <w:r>
        <w:rPr>
          <w:rFonts w:ascii="Consolas" w:hAnsi="Consolas"/>
          <w:sz w:val="14"/>
        </w:rPr>
        <w:t xml:space="preserve">  "occurred_at": "&lt;UTC timestamp&gt;",</w:t>
      </w:r>
    </w:p>
    <w:p>
      <w:pPr>
        <w:pStyle w:val="NoSpacing"/>
      </w:pPr>
      <w:r>
        <w:rPr>
          <w:rFonts w:ascii="Consolas" w:hAnsi="Consolas"/>
          <w:sz w:val="14"/>
        </w:rPr>
        <w:t xml:space="preserve">  "payload": { "order_id": "&lt;uuid&gt;" }</w:t>
      </w:r>
    </w:p>
    <w:p>
      <w:pPr>
        <w:pStyle w:val="NoSpacing"/>
      </w:pPr>
      <w:r>
        <w:rPr>
          <w:rFonts w:ascii="Consolas" w:hAnsi="Consolas"/>
          <w:sz w:val="14"/>
        </w:rPr>
        <w:t>}</w:t>
      </w:r>
    </w:p>
    <w:p>
      <w:pPr>
        <w:pStyle w:val="Heading1"/>
      </w:pPr>
      <w:r>
        <w:t>10. Security architecture</w:t>
      </w:r>
    </w:p>
    <w:p>
      <w:pPr>
        <w:pStyle w:val="ListBullet"/>
      </w:pPr>
      <w:r>
        <w:t>TLS, trusted proxy configuration, WAF and rate limits at the edge.</w:t>
      </w:r>
    </w:p>
    <w:p>
      <w:pPr>
        <w:pStyle w:val="ListBullet"/>
      </w:pPr>
      <w:r>
        <w:t>Secure session and CSRF protection for Inertia; scoped tokens/OAuth for mobile and integrations.</w:t>
      </w:r>
    </w:p>
    <w:p>
      <w:pPr>
        <w:pStyle w:val="ListBullet"/>
      </w:pPr>
      <w:r>
        <w:t>Role, tenant, company, record and field-level authorization enforced server-side.</w:t>
      </w:r>
    </w:p>
    <w:p>
      <w:pPr>
        <w:pStyle w:val="ListBullet"/>
      </w:pPr>
      <w:r>
        <w:t>MFA for privileged users; OIDC SSO for approved enterprise deployments.</w:t>
      </w:r>
    </w:p>
    <w:p>
      <w:pPr>
        <w:pStyle w:val="ListBullet"/>
      </w:pPr>
      <w:r>
        <w:t>Secret management and rotation; no credentials in logs, source or AI prompts.</w:t>
      </w:r>
    </w:p>
    <w:p>
      <w:pPr>
        <w:pStyle w:val="ListBullet"/>
      </w:pPr>
      <w:r>
        <w:t>Encrypted backups and authorized object access; retention and privacy workflows.</w:t>
      </w:r>
    </w:p>
    <w:p>
      <w:pPr>
        <w:pStyle w:val="ListBullet"/>
      </w:pPr>
      <w:r>
        <w:t>Structured audit logs for privileged actions, financial changes and integrations.</w:t>
      </w:r>
    </w:p>
    <w:p>
      <w:pPr>
        <w:pStyle w:val="ListBullet"/>
      </w:pPr>
      <w:r>
        <w:t>Security testing for tenant escape, IDOR, CSRF, injection, webhook replay and AI misuse.</w:t>
      </w:r>
    </w:p>
    <w:tbl>
      <w:tblPr>
        <w:tblStyle w:val="LightShading-Accent1"/>
        <w:tblW w:type="auto" w:w="0"/>
        <w:jc w:val="center"/>
        <w:tblLook w:firstColumn="1" w:firstRow="1" w:lastColumn="0" w:lastRow="0" w:noHBand="0" w:noVBand="1" w:val="04A0"/>
      </w:tblPr>
      <w:tblGrid>
        <w:gridCol w:w="4882"/>
        <w:gridCol w:w="4882"/>
      </w:tblGrid>
      <w:tr>
        <w:tc>
          <w:tcPr>
            <w:tcW w:type="dxa" w:w="4882"/>
          </w:tcPr>
          <w:p>
            <w:r>
              <w:t>ID</w:t>
            </w:r>
          </w:p>
        </w:tc>
        <w:tc>
          <w:tcPr>
            <w:tcW w:type="dxa" w:w="4882"/>
          </w:tcPr>
          <w:p>
            <w:r>
              <w:t>Security acceptance test</w:t>
            </w:r>
          </w:p>
        </w:tc>
      </w:tr>
      <w:tr>
        <w:tc>
          <w:tcPr>
            <w:tcW w:type="dxa" w:w="4882"/>
          </w:tcPr>
          <w:p>
            <w:r>
              <w:t>SEC-001</w:t>
            </w:r>
          </w:p>
        </w:tc>
        <w:tc>
          <w:tcPr>
            <w:tcW w:type="dxa" w:w="4882"/>
          </w:tcPr>
          <w:p>
            <w:r>
              <w:t>Cross-tenant read/write isolation</w:t>
            </w:r>
          </w:p>
        </w:tc>
      </w:tr>
      <w:tr>
        <w:tc>
          <w:tcPr>
            <w:tcW w:type="dxa" w:w="4882"/>
          </w:tcPr>
          <w:p>
            <w:r>
              <w:t>SEC-002</w:t>
            </w:r>
          </w:p>
        </w:tc>
        <w:tc>
          <w:tcPr>
            <w:tcW w:type="dxa" w:w="4882"/>
          </w:tcPr>
          <w:p>
            <w:r>
              <w:t>Privilege escalation prevention</w:t>
            </w:r>
          </w:p>
        </w:tc>
      </w:tr>
      <w:tr>
        <w:tc>
          <w:tcPr>
            <w:tcW w:type="dxa" w:w="4882"/>
          </w:tcPr>
          <w:p>
            <w:r>
              <w:t>SEC-003</w:t>
            </w:r>
          </w:p>
        </w:tc>
        <w:tc>
          <w:tcPr>
            <w:tcW w:type="dxa" w:w="4882"/>
          </w:tcPr>
          <w:p>
            <w:r>
              <w:t>IDOR prevention</w:t>
            </w:r>
          </w:p>
        </w:tc>
      </w:tr>
      <w:tr>
        <w:tc>
          <w:tcPr>
            <w:tcW w:type="dxa" w:w="4882"/>
          </w:tcPr>
          <w:p>
            <w:r>
              <w:t>SEC-004</w:t>
            </w:r>
          </w:p>
        </w:tc>
        <w:tc>
          <w:tcPr>
            <w:tcW w:type="dxa" w:w="4882"/>
          </w:tcPr>
          <w:p>
            <w:r>
              <w:t>Session revocation</w:t>
            </w:r>
          </w:p>
        </w:tc>
      </w:tr>
      <w:tr>
        <w:tc>
          <w:tcPr>
            <w:tcW w:type="dxa" w:w="4882"/>
          </w:tcPr>
          <w:p>
            <w:r>
              <w:t>SEC-005</w:t>
            </w:r>
          </w:p>
        </w:tc>
        <w:tc>
          <w:tcPr>
            <w:tcW w:type="dxa" w:w="4882"/>
          </w:tcPr>
          <w:p>
            <w:r>
              <w:t>CSRF and injection defense</w:t>
            </w:r>
          </w:p>
        </w:tc>
      </w:tr>
      <w:tr>
        <w:tc>
          <w:tcPr>
            <w:tcW w:type="dxa" w:w="4882"/>
          </w:tcPr>
          <w:p>
            <w:r>
              <w:t>SEC-006</w:t>
            </w:r>
          </w:p>
        </w:tc>
        <w:tc>
          <w:tcPr>
            <w:tcW w:type="dxa" w:w="4882"/>
          </w:tcPr>
          <w:p>
            <w:r>
              <w:t>Malicious file handling</w:t>
            </w:r>
          </w:p>
        </w:tc>
      </w:tr>
      <w:tr>
        <w:tc>
          <w:tcPr>
            <w:tcW w:type="dxa" w:w="4882"/>
          </w:tcPr>
          <w:p>
            <w:r>
              <w:t>SEC-007</w:t>
            </w:r>
          </w:p>
        </w:tc>
        <w:tc>
          <w:tcPr>
            <w:tcW w:type="dxa" w:w="4882"/>
          </w:tcPr>
          <w:p>
            <w:r>
              <w:t>Webhook authenticity/replay</w:t>
            </w:r>
          </w:p>
        </w:tc>
      </w:tr>
      <w:tr>
        <w:tc>
          <w:tcPr>
            <w:tcW w:type="dxa" w:w="4882"/>
          </w:tcPr>
          <w:p>
            <w:r>
              <w:t>SEC-008</w:t>
            </w:r>
          </w:p>
        </w:tc>
        <w:tc>
          <w:tcPr>
            <w:tcW w:type="dxa" w:w="4882"/>
          </w:tcPr>
          <w:p>
            <w:r>
              <w:t>Secrets and dependency scans</w:t>
            </w:r>
          </w:p>
        </w:tc>
      </w:tr>
      <w:tr>
        <w:tc>
          <w:tcPr>
            <w:tcW w:type="dxa" w:w="4882"/>
          </w:tcPr>
          <w:p>
            <w:r>
              <w:t>SEC-009</w:t>
            </w:r>
          </w:p>
        </w:tc>
        <w:tc>
          <w:tcPr>
            <w:tcW w:type="dxa" w:w="4882"/>
          </w:tcPr>
          <w:p>
            <w:r>
              <w:t>AI prompt-injection/tool misuse</w:t>
            </w:r>
          </w:p>
        </w:tc>
      </w:tr>
      <w:tr>
        <w:tc>
          <w:tcPr>
            <w:tcW w:type="dxa" w:w="4882"/>
          </w:tcPr>
          <w:p>
            <w:r>
              <w:t>SEC-010</w:t>
            </w:r>
          </w:p>
        </w:tc>
        <w:tc>
          <w:tcPr>
            <w:tcW w:type="dxa" w:w="4882"/>
          </w:tcPr>
          <w:p>
            <w:r>
              <w:t>Backup and sensitive-data protection</w:t>
            </w:r>
          </w:p>
        </w:tc>
      </w:tr>
      <w:tr>
        <w:tc>
          <w:tcPr>
            <w:tcW w:type="dxa" w:w="4882"/>
          </w:tcPr>
          <w:p>
            <w:r>
              <w:t>SEC-011</w:t>
            </w:r>
          </w:p>
        </w:tc>
        <w:tc>
          <w:tcPr>
            <w:tcW w:type="dxa" w:w="4882"/>
          </w:tcPr>
          <w:p>
            <w:r>
              <w:t>Rate limiting</w:t>
            </w:r>
          </w:p>
        </w:tc>
      </w:tr>
      <w:tr>
        <w:tc>
          <w:tcPr>
            <w:tcW w:type="dxa" w:w="4882"/>
          </w:tcPr>
          <w:p>
            <w:r>
              <w:t>SEC-012</w:t>
            </w:r>
          </w:p>
        </w:tc>
        <w:tc>
          <w:tcPr>
            <w:tcW w:type="dxa" w:w="4882"/>
          </w:tcPr>
          <w:p>
            <w:r>
              <w:t>Audit integrity</w:t>
            </w:r>
          </w:p>
        </w:tc>
      </w:tr>
    </w:tbl>
    <w:p/>
    <w:p>
      <w:pPr>
        <w:pStyle w:val="Heading1"/>
      </w:pPr>
      <w:r>
        <w:t>11. Infrastructure and deployment</w:t>
      </w:r>
    </w:p>
    <w:p>
      <w:r>
        <w:drawing>
          <wp:inline xmlns:a="http://schemas.openxmlformats.org/drawingml/2006/main" xmlns:pic="http://schemas.openxmlformats.org/drawingml/2006/picture">
            <wp:extent cx="6126480" cy="2950921"/>
            <wp:docPr id="8" name="Picture 8"/>
            <wp:cNvGraphicFramePr>
              <a:graphicFrameLocks noChangeAspect="1"/>
            </wp:cNvGraphicFramePr>
            <a:graphic>
              <a:graphicData uri="http://schemas.openxmlformats.org/drawingml/2006/picture">
                <pic:pic>
                  <pic:nvPicPr>
                    <pic:cNvPr id="0" name="deployment.png"/>
                    <pic:cNvPicPr/>
                  </pic:nvPicPr>
                  <pic:blipFill>
                    <a:blip r:embed="rId16"/>
                    <a:stretch>
                      <a:fillRect/>
                    </a:stretch>
                  </pic:blipFill>
                  <pic:spPr>
                    <a:xfrm>
                      <a:off x="0" y="0"/>
                      <a:ext cx="6126480" cy="2950921"/>
                    </a:xfrm>
                    <a:prstGeom prst="rect"/>
                  </pic:spPr>
                </pic:pic>
              </a:graphicData>
            </a:graphic>
          </wp:inline>
        </w:drawing>
      </w:r>
    </w:p>
    <w:p>
      <w:pPr>
        <w:jc w:val="center"/>
      </w:pPr>
      <w:r>
        <w:rPr>
          <w:i/>
          <w:sz w:val="16"/>
        </w:rPr>
        <w:t>Figure 8. Proposed production deployment topology.</w:t>
      </w:r>
    </w:p>
    <w:tbl>
      <w:tblPr>
        <w:tblStyle w:val="LightShading-Accent1"/>
        <w:tblW w:type="auto" w:w="0"/>
        <w:jc w:val="center"/>
        <w:tblLook w:firstColumn="1" w:firstRow="1" w:lastColumn="0" w:lastRow="0" w:noHBand="0" w:noVBand="1" w:val="04A0"/>
      </w:tblPr>
      <w:tblGrid>
        <w:gridCol w:w="4882"/>
        <w:gridCol w:w="4882"/>
      </w:tblGrid>
      <w:tr>
        <w:tc>
          <w:tcPr>
            <w:tcW w:type="dxa" w:w="4882"/>
          </w:tcPr>
          <w:p>
            <w:r>
              <w:t>Environment</w:t>
            </w:r>
          </w:p>
        </w:tc>
        <w:tc>
          <w:tcPr>
            <w:tcW w:type="dxa" w:w="4882"/>
          </w:tcPr>
          <w:p>
            <w:r>
              <w:t>Purpose</w:t>
            </w:r>
          </w:p>
        </w:tc>
      </w:tr>
      <w:tr>
        <w:tc>
          <w:tcPr>
            <w:tcW w:type="dxa" w:w="4882"/>
          </w:tcPr>
          <w:p>
            <w:r>
              <w:t>Local</w:t>
            </w:r>
          </w:p>
        </w:tc>
        <w:tc>
          <w:tcPr>
            <w:tcW w:type="dxa" w:w="4882"/>
          </w:tcPr>
          <w:p>
            <w:r>
              <w:t>Developer Docker stack and synthetic fixtures</w:t>
            </w:r>
          </w:p>
        </w:tc>
      </w:tr>
      <w:tr>
        <w:tc>
          <w:tcPr>
            <w:tcW w:type="dxa" w:w="4882"/>
          </w:tcPr>
          <w:p>
            <w:r>
              <w:t>CI</w:t>
            </w:r>
          </w:p>
        </w:tc>
        <w:tc>
          <w:tcPr>
            <w:tcW w:type="dxa" w:w="4882"/>
          </w:tcPr>
          <w:p>
            <w:r>
              <w:t>Ephemeral test services</w:t>
            </w:r>
          </w:p>
        </w:tc>
      </w:tr>
      <w:tr>
        <w:tc>
          <w:tcPr>
            <w:tcW w:type="dxa" w:w="4882"/>
          </w:tcPr>
          <w:p>
            <w:r>
              <w:t>Development</w:t>
            </w:r>
          </w:p>
        </w:tc>
        <w:tc>
          <w:tcPr>
            <w:tcW w:type="dxa" w:w="4882"/>
          </w:tcPr>
          <w:p>
            <w:r>
              <w:t>Shared integration with synthetic data</w:t>
            </w:r>
          </w:p>
        </w:tc>
      </w:tr>
      <w:tr>
        <w:tc>
          <w:tcPr>
            <w:tcW w:type="dxa" w:w="4882"/>
          </w:tcPr>
          <w:p>
            <w:r>
              <w:t>Staging</w:t>
            </w:r>
          </w:p>
        </w:tc>
        <w:tc>
          <w:tcPr>
            <w:tcW w:type="dxa" w:w="4882"/>
          </w:tcPr>
          <w:p>
            <w:r>
              <w:t>Production-like validation with sanitized data</w:t>
            </w:r>
          </w:p>
        </w:tc>
      </w:tr>
      <w:tr>
        <w:tc>
          <w:tcPr>
            <w:tcW w:type="dxa" w:w="4882"/>
          </w:tcPr>
          <w:p>
            <w:r>
              <w:t>Production</w:t>
            </w:r>
          </w:p>
        </w:tc>
        <w:tc>
          <w:tcPr>
            <w:tcW w:type="dxa" w:w="4882"/>
          </w:tcPr>
          <w:p>
            <w:r>
              <w:t>Protected customer workloads</w:t>
            </w:r>
          </w:p>
        </w:tc>
      </w:tr>
    </w:tbl>
    <w:p/>
    <w:p>
      <w:r>
        <w:t>Use containerized services, managed PostgreSQL, Redis, S3-compatible object storage, dedicated secrets and observability. Provision infrastructure with Terraform or approved IaC. Kubernetes is deferred until operational scale justifies it. Use independent queue classes for critical transactions versus reporting, marketing and AI jobs.</w:t>
      </w:r>
    </w:p>
    <w:p>
      <w:pPr>
        <w:pStyle w:val="Heading2"/>
      </w:pPr>
      <w:r>
        <w:t>11.1 Proposed operational targets</w:t>
      </w:r>
    </w:p>
    <w:tbl>
      <w:tblPr>
        <w:tblStyle w:val="LightShading-Accent1"/>
        <w:tblW w:type="auto" w:w="0"/>
        <w:jc w:val="center"/>
        <w:tblLook w:firstColumn="1" w:firstRow="1" w:lastColumn="0" w:lastRow="0" w:noHBand="0" w:noVBand="1" w:val="04A0"/>
      </w:tblPr>
      <w:tblGrid>
        <w:gridCol w:w="4882"/>
        <w:gridCol w:w="4882"/>
      </w:tblGrid>
      <w:tr>
        <w:tc>
          <w:tcPr>
            <w:tcW w:type="dxa" w:w="4882"/>
          </w:tcPr>
          <w:p>
            <w:r>
              <w:t>Measure</w:t>
            </w:r>
          </w:p>
        </w:tc>
        <w:tc>
          <w:tcPr>
            <w:tcW w:type="dxa" w:w="4882"/>
          </w:tcPr>
          <w:p>
            <w:r>
              <w:t>Initial target / qualification</w:t>
            </w:r>
          </w:p>
        </w:tc>
      </w:tr>
      <w:tr>
        <w:tc>
          <w:tcPr>
            <w:tcW w:type="dxa" w:w="4882"/>
          </w:tcPr>
          <w:p>
            <w:r>
              <w:t>Availability</w:t>
            </w:r>
          </w:p>
        </w:tc>
        <w:tc>
          <w:tcPr>
            <w:tcW w:type="dxa" w:w="4882"/>
          </w:tcPr>
          <w:p>
            <w:r>
              <w:t>99.9% monthly managed service target, not yet guaranteed</w:t>
            </w:r>
          </w:p>
        </w:tc>
      </w:tr>
      <w:tr>
        <w:tc>
          <w:tcPr>
            <w:tcW w:type="dxa" w:w="4882"/>
          </w:tcPr>
          <w:p>
            <w:r>
              <w:t>RPO</w:t>
            </w:r>
          </w:p>
        </w:tc>
        <w:tc>
          <w:tcPr>
            <w:tcW w:type="dxa" w:w="4882"/>
          </w:tcPr>
          <w:p>
            <w:r>
              <w:t>1 hour for qualifying managed tiers</w:t>
            </w:r>
          </w:p>
        </w:tc>
      </w:tr>
      <w:tr>
        <w:tc>
          <w:tcPr>
            <w:tcW w:type="dxa" w:w="4882"/>
          </w:tcPr>
          <w:p>
            <w:r>
              <w:t>RTO</w:t>
            </w:r>
          </w:p>
        </w:tc>
        <w:tc>
          <w:tcPr>
            <w:tcW w:type="dxa" w:w="4882"/>
          </w:tcPr>
          <w:p>
            <w:r>
              <w:t>4 hours for qualifying managed tiers</w:t>
            </w:r>
          </w:p>
        </w:tc>
      </w:tr>
      <w:tr>
        <w:tc>
          <w:tcPr>
            <w:tcW w:type="dxa" w:w="4882"/>
          </w:tcPr>
          <w:p>
            <w:r>
              <w:t>Performance</w:t>
            </w:r>
          </w:p>
        </w:tc>
        <w:tc>
          <w:tcPr>
            <w:tcW w:type="dxa" w:w="4882"/>
          </w:tcPr>
          <w:p>
            <w:r>
              <w:t>Representative p95 reads under 500 ms only after workload definition and tests</w:t>
            </w:r>
          </w:p>
        </w:tc>
      </w:tr>
      <w:tr>
        <w:tc>
          <w:tcPr>
            <w:tcW w:type="dxa" w:w="4882"/>
          </w:tcPr>
          <w:p>
            <w:r>
              <w:t>Recovery</w:t>
            </w:r>
          </w:p>
        </w:tc>
        <w:tc>
          <w:tcPr>
            <w:tcW w:type="dxa" w:w="4882"/>
          </w:tcPr>
          <w:p>
            <w:r>
              <w:t>Scheduled verified restore drills</w:t>
            </w:r>
          </w:p>
        </w:tc>
      </w:tr>
      <w:tr>
        <w:tc>
          <w:tcPr>
            <w:tcW w:type="dxa" w:w="4882"/>
          </w:tcPr>
          <w:p>
            <w:r>
              <w:t>Scaling</w:t>
            </w:r>
          </w:p>
        </w:tc>
        <w:tc>
          <w:tcPr>
            <w:tcW w:type="dxa" w:w="4882"/>
          </w:tcPr>
          <w:p>
            <w:r>
              <w:t>Measured workload-driven capacity planning</w:t>
            </w:r>
          </w:p>
        </w:tc>
      </w:tr>
    </w:tbl>
    <w:p/>
    <w:p>
      <w:pPr>
        <w:pStyle w:val="Heading1"/>
      </w:pPr>
      <w:r>
        <w:t>12. CI/CD, testing and operations</w:t>
      </w:r>
    </w:p>
    <w:p>
      <w:r>
        <w:t>CI should perform PHP formatting/static analysis/tests, TypeScript lint/typecheck/build, Python checks when present, migrations, architecture boundary tests, OpenAPI validation, secret/dependency scanning, integration and critical E2E tests. Protected branches and reviewed changes feed staged deployments. Schema changes must use compatibility-aware migration strategies; container rollback does not imply automatic database rollback.</w:t>
      </w:r>
    </w:p>
    <w:p>
      <w:r>
        <w:t>Capture structured logs, metrics and distributed traces across Laravel, queues, FastAPI and providers. Monitor request latency, database locks, queue depth, outbox lag, AI cost, webhook errors, backup success and tenant provisioning/migration status. Maintain runbooks for outages, tenant restores, failed migrations and security incidents.</w:t>
      </w:r>
    </w:p>
    <w:p>
      <w:pPr>
        <w:pStyle w:val="Heading1"/>
      </w:pPr>
      <w:r>
        <w:t>13. Mobile and extension architecture</w:t>
      </w:r>
    </w:p>
    <w:p>
      <w:r>
        <w:t>Flutter mobile uses feature-based modules, secure API access and explicit offline workflow design. Offline writes require encrypted local storage where applicable, reconciliation and conflict policies; financial and inventory-critical writes cannot be assumed safe offline.</w:t>
      </w:r>
    </w:p>
    <w:p>
      <w:r>
        <w:t>Infovish Studio uses versioned metadata for fields, forms, views and workflows. Extensions declare dependencies, capabilities, permissions and compatible platform versions. Never execute arbitrary untrusted customer PHP code inside the shared SaaS application.</w:t>
      </w:r>
    </w:p>
    <w:p>
      <w:pPr>
        <w:pStyle w:val="Heading1"/>
      </w:pPr>
      <w:r>
        <w:t>14. Architecture decision register</w:t>
      </w:r>
    </w:p>
    <w:tbl>
      <w:tblPr>
        <w:tblStyle w:val="LightShading-Accent1"/>
        <w:tblW w:type="auto" w:w="0"/>
        <w:jc w:val="center"/>
        <w:tblLook w:firstColumn="1" w:firstRow="1" w:lastColumn="0" w:lastRow="0" w:noHBand="0" w:noVBand="1" w:val="04A0"/>
      </w:tblPr>
      <w:tblGrid>
        <w:gridCol w:w="3255"/>
        <w:gridCol w:w="3255"/>
        <w:gridCol w:w="3255"/>
      </w:tblGrid>
      <w:tr>
        <w:tc>
          <w:tcPr>
            <w:tcW w:type="dxa" w:w="3255"/>
          </w:tcPr>
          <w:p>
            <w:r>
              <w:t>ADR</w:t>
            </w:r>
          </w:p>
        </w:tc>
        <w:tc>
          <w:tcPr>
            <w:tcW w:type="dxa" w:w="3255"/>
          </w:tcPr>
          <w:p>
            <w:r>
              <w:t>Proposed decision</w:t>
            </w:r>
          </w:p>
        </w:tc>
        <w:tc>
          <w:tcPr>
            <w:tcW w:type="dxa" w:w="3255"/>
          </w:tcPr>
          <w:p>
            <w:r>
              <w:t>Status</w:t>
            </w:r>
          </w:p>
        </w:tc>
      </w:tr>
      <w:tr>
        <w:tc>
          <w:tcPr>
            <w:tcW w:type="dxa" w:w="3255"/>
          </w:tcPr>
          <w:p>
            <w:r>
              <w:t>ADR-001</w:t>
            </w:r>
          </w:p>
        </w:tc>
        <w:tc>
          <w:tcPr>
            <w:tcW w:type="dxa" w:w="3255"/>
          </w:tcPr>
          <w:p>
            <w:r>
              <w:t>Modular monolith</w:t>
            </w:r>
          </w:p>
        </w:tc>
        <w:tc>
          <w:tcPr>
            <w:tcW w:type="dxa" w:w="3255"/>
          </w:tcPr>
          <w:p>
            <w:r>
              <w:t>Proposed — M00 review</w:t>
            </w:r>
          </w:p>
        </w:tc>
      </w:tr>
      <w:tr>
        <w:tc>
          <w:tcPr>
            <w:tcW w:type="dxa" w:w="3255"/>
          </w:tcPr>
          <w:p>
            <w:r>
              <w:t>ADR-002</w:t>
            </w:r>
          </w:p>
        </w:tc>
        <w:tc>
          <w:tcPr>
            <w:tcW w:type="dxa" w:w="3255"/>
          </w:tcPr>
          <w:p>
            <w:r>
              <w:t>Laravel transactional backend</w:t>
            </w:r>
          </w:p>
        </w:tc>
        <w:tc>
          <w:tcPr>
            <w:tcW w:type="dxa" w:w="3255"/>
          </w:tcPr>
          <w:p>
            <w:r>
              <w:t>Proposed — M00 review</w:t>
            </w:r>
          </w:p>
        </w:tc>
      </w:tr>
      <w:tr>
        <w:tc>
          <w:tcPr>
            <w:tcW w:type="dxa" w:w="3255"/>
          </w:tcPr>
          <w:p>
            <w:r>
              <w:t>ADR-003</w:t>
            </w:r>
          </w:p>
        </w:tc>
        <w:tc>
          <w:tcPr>
            <w:tcW w:type="dxa" w:w="3255"/>
          </w:tcPr>
          <w:p>
            <w:r>
              <w:t>React/TypeScript/Inertia frontend</w:t>
            </w:r>
          </w:p>
        </w:tc>
        <w:tc>
          <w:tcPr>
            <w:tcW w:type="dxa" w:w="3255"/>
          </w:tcPr>
          <w:p>
            <w:r>
              <w:t>Proposed — M00 review</w:t>
            </w:r>
          </w:p>
        </w:tc>
      </w:tr>
      <w:tr>
        <w:tc>
          <w:tcPr>
            <w:tcW w:type="dxa" w:w="3255"/>
          </w:tcPr>
          <w:p>
            <w:r>
              <w:t>ADR-004</w:t>
            </w:r>
          </w:p>
        </w:tc>
        <w:tc>
          <w:tcPr>
            <w:tcW w:type="dxa" w:w="3255"/>
          </w:tcPr>
          <w:p>
            <w:r>
              <w:t>PostgreSQL database per tenant</w:t>
            </w:r>
          </w:p>
        </w:tc>
        <w:tc>
          <w:tcPr>
            <w:tcW w:type="dxa" w:w="3255"/>
          </w:tcPr>
          <w:p>
            <w:r>
              <w:t>Proposed — M00 review</w:t>
            </w:r>
          </w:p>
        </w:tc>
      </w:tr>
      <w:tr>
        <w:tc>
          <w:tcPr>
            <w:tcW w:type="dxa" w:w="3255"/>
          </w:tcPr>
          <w:p>
            <w:r>
              <w:t>ADR-005</w:t>
            </w:r>
          </w:p>
        </w:tc>
        <w:tc>
          <w:tcPr>
            <w:tcW w:type="dxa" w:w="3255"/>
          </w:tcPr>
          <w:p>
            <w:r>
              <w:t>Separate platform control plane</w:t>
            </w:r>
          </w:p>
        </w:tc>
        <w:tc>
          <w:tcPr>
            <w:tcW w:type="dxa" w:w="3255"/>
          </w:tcPr>
          <w:p>
            <w:r>
              <w:t>Proposed — M00 review</w:t>
            </w:r>
          </w:p>
        </w:tc>
      </w:tr>
      <w:tr>
        <w:tc>
          <w:tcPr>
            <w:tcW w:type="dxa" w:w="3255"/>
          </w:tcPr>
          <w:p>
            <w:r>
              <w:t>ADR-006</w:t>
            </w:r>
          </w:p>
        </w:tc>
        <w:tc>
          <w:tcPr>
            <w:tcW w:type="dxa" w:w="3255"/>
          </w:tcPr>
          <w:p>
            <w:r>
              <w:t>Redis queues and transactional outbox</w:t>
            </w:r>
          </w:p>
        </w:tc>
        <w:tc>
          <w:tcPr>
            <w:tcW w:type="dxa" w:w="3255"/>
          </w:tcPr>
          <w:p>
            <w:r>
              <w:t>Proposed — M00 review</w:t>
            </w:r>
          </w:p>
        </w:tc>
      </w:tr>
      <w:tr>
        <w:tc>
          <w:tcPr>
            <w:tcW w:type="dxa" w:w="3255"/>
          </w:tcPr>
          <w:p>
            <w:r>
              <w:t>ADR-007</w:t>
            </w:r>
          </w:p>
        </w:tc>
        <w:tc>
          <w:tcPr>
            <w:tcW w:type="dxa" w:w="3255"/>
          </w:tcPr>
          <w:p>
            <w:r>
              <w:t>FastAPI AI service</w:t>
            </w:r>
          </w:p>
        </w:tc>
        <w:tc>
          <w:tcPr>
            <w:tcW w:type="dxa" w:w="3255"/>
          </w:tcPr>
          <w:p>
            <w:r>
              <w:t>Proposed — M00 review</w:t>
            </w:r>
          </w:p>
        </w:tc>
      </w:tr>
      <w:tr>
        <w:tc>
          <w:tcPr>
            <w:tcW w:type="dxa" w:w="3255"/>
          </w:tcPr>
          <w:p>
            <w:r>
              <w:t>ADR-008</w:t>
            </w:r>
          </w:p>
        </w:tc>
        <w:tc>
          <w:tcPr>
            <w:tcW w:type="dxa" w:w="3255"/>
          </w:tcPr>
          <w:p>
            <w:r>
              <w:t>Official WhatsApp Business APIs</w:t>
            </w:r>
          </w:p>
        </w:tc>
        <w:tc>
          <w:tcPr>
            <w:tcW w:type="dxa" w:w="3255"/>
          </w:tcPr>
          <w:p>
            <w:r>
              <w:t>Proposed — M00 review</w:t>
            </w:r>
          </w:p>
        </w:tc>
      </w:tr>
      <w:tr>
        <w:tc>
          <w:tcPr>
            <w:tcW w:type="dxa" w:w="3255"/>
          </w:tcPr>
          <w:p>
            <w:r>
              <w:t>ADR-009</w:t>
            </w:r>
          </w:p>
        </w:tc>
        <w:tc>
          <w:tcPr>
            <w:tcW w:type="dxa" w:w="3255"/>
          </w:tcPr>
          <w:p>
            <w:r>
              <w:t>REST and OpenAPI</w:t>
            </w:r>
          </w:p>
        </w:tc>
        <w:tc>
          <w:tcPr>
            <w:tcW w:type="dxa" w:w="3255"/>
          </w:tcPr>
          <w:p>
            <w:r>
              <w:t>Proposed — M00 review</w:t>
            </w:r>
          </w:p>
        </w:tc>
      </w:tr>
      <w:tr>
        <w:tc>
          <w:tcPr>
            <w:tcW w:type="dxa" w:w="3255"/>
          </w:tcPr>
          <w:p>
            <w:r>
              <w:t>ADR-010</w:t>
            </w:r>
          </w:p>
        </w:tc>
        <w:tc>
          <w:tcPr>
            <w:tcW w:type="dxa" w:w="3255"/>
          </w:tcPr>
          <w:p>
            <w:r>
              <w:t>Flutter mobile</w:t>
            </w:r>
          </w:p>
        </w:tc>
        <w:tc>
          <w:tcPr>
            <w:tcW w:type="dxa" w:w="3255"/>
          </w:tcPr>
          <w:p>
            <w:r>
              <w:t>Proposed — M00 review</w:t>
            </w:r>
          </w:p>
        </w:tc>
      </w:tr>
      <w:tr>
        <w:tc>
          <w:tcPr>
            <w:tcW w:type="dxa" w:w="3255"/>
          </w:tcPr>
          <w:p>
            <w:r>
              <w:t>ADR-011</w:t>
            </w:r>
          </w:p>
        </w:tc>
        <w:tc>
          <w:tcPr>
            <w:tcW w:type="dxa" w:w="3255"/>
          </w:tcPr>
          <w:p>
            <w:r>
              <w:t>Docker managed deployment</w:t>
            </w:r>
          </w:p>
        </w:tc>
        <w:tc>
          <w:tcPr>
            <w:tcW w:type="dxa" w:w="3255"/>
          </w:tcPr>
          <w:p>
            <w:r>
              <w:t>Proposed — M00 review</w:t>
            </w:r>
          </w:p>
        </w:tc>
      </w:tr>
      <w:tr>
        <w:tc>
          <w:tcPr>
            <w:tcW w:type="dxa" w:w="3255"/>
          </w:tcPr>
          <w:p>
            <w:r>
              <w:t>ADR-012</w:t>
            </w:r>
          </w:p>
        </w:tc>
        <w:tc>
          <w:tcPr>
            <w:tcW w:type="dxa" w:w="3255"/>
          </w:tcPr>
          <w:p>
            <w:r>
              <w:t>Metadata-driven customization</w:t>
            </w:r>
          </w:p>
        </w:tc>
        <w:tc>
          <w:tcPr>
            <w:tcW w:type="dxa" w:w="3255"/>
          </w:tcPr>
          <w:p>
            <w:r>
              <w:t>Proposed — M00 review</w:t>
            </w:r>
          </w:p>
        </w:tc>
      </w:tr>
      <w:tr>
        <w:tc>
          <w:tcPr>
            <w:tcW w:type="dxa" w:w="3255"/>
          </w:tcPr>
          <w:p>
            <w:r>
              <w:t>ADR-013</w:t>
            </w:r>
          </w:p>
        </w:tc>
        <w:tc>
          <w:tcPr>
            <w:tcW w:type="dxa" w:w="3255"/>
          </w:tcPr>
          <w:p>
            <w:r>
              <w:t>Governed AI tools</w:t>
            </w:r>
          </w:p>
        </w:tc>
        <w:tc>
          <w:tcPr>
            <w:tcW w:type="dxa" w:w="3255"/>
          </w:tcPr>
          <w:p>
            <w:r>
              <w:t>Proposed — M00 review</w:t>
            </w:r>
          </w:p>
        </w:tc>
      </w:tr>
      <w:tr>
        <w:tc>
          <w:tcPr>
            <w:tcW w:type="dxa" w:w="3255"/>
          </w:tcPr>
          <w:p>
            <w:r>
              <w:t>ADR-014</w:t>
            </w:r>
          </w:p>
        </w:tc>
        <w:tc>
          <w:tcPr>
            <w:tcW w:type="dxa" w:w="3255"/>
          </w:tcPr>
          <w:p>
            <w:r>
              <w:t>Domain ownership boundaries</w:t>
            </w:r>
          </w:p>
        </w:tc>
        <w:tc>
          <w:tcPr>
            <w:tcW w:type="dxa" w:w="3255"/>
          </w:tcPr>
          <w:p>
            <w:r>
              <w:t>Proposed — M00 review</w:t>
            </w:r>
          </w:p>
        </w:tc>
      </w:tr>
      <w:tr>
        <w:tc>
          <w:tcPr>
            <w:tcW w:type="dxa" w:w="3255"/>
          </w:tcPr>
          <w:p>
            <w:r>
              <w:t>ADR-015</w:t>
            </w:r>
          </w:p>
        </w:tc>
        <w:tc>
          <w:tcPr>
            <w:tcW w:type="dxa" w:w="3255"/>
          </w:tcPr>
          <w:p>
            <w:r>
              <w:t>Managed database and object storage</w:t>
            </w:r>
          </w:p>
        </w:tc>
        <w:tc>
          <w:tcPr>
            <w:tcW w:type="dxa" w:w="3255"/>
          </w:tcPr>
          <w:p>
            <w:r>
              <w:t>Proposed — M00 review</w:t>
            </w:r>
          </w:p>
        </w:tc>
      </w:tr>
      <w:tr>
        <w:tc>
          <w:tcPr>
            <w:tcW w:type="dxa" w:w="3255"/>
          </w:tcPr>
          <w:p>
            <w:r>
              <w:t>ADR-016</w:t>
            </w:r>
          </w:p>
        </w:tc>
        <w:tc>
          <w:tcPr>
            <w:tcW w:type="dxa" w:w="3255"/>
          </w:tcPr>
          <w:p>
            <w:r>
              <w:t>Defer Kubernetes</w:t>
            </w:r>
          </w:p>
        </w:tc>
        <w:tc>
          <w:tcPr>
            <w:tcW w:type="dxa" w:w="3255"/>
          </w:tcPr>
          <w:p>
            <w:r>
              <w:t>Proposed — M00 review</w:t>
            </w:r>
          </w:p>
        </w:tc>
      </w:tr>
      <w:tr>
        <w:tc>
          <w:tcPr>
            <w:tcW w:type="dxa" w:w="3255"/>
          </w:tcPr>
          <w:p>
            <w:r>
              <w:t>ADR-017</w:t>
            </w:r>
          </w:p>
        </w:tc>
        <w:tc>
          <w:tcPr>
            <w:tcW w:type="dxa" w:w="3255"/>
          </w:tcPr>
          <w:p>
            <w:r>
              <w:t>Automated security and architecture tests</w:t>
            </w:r>
          </w:p>
        </w:tc>
        <w:tc>
          <w:tcPr>
            <w:tcW w:type="dxa" w:w="3255"/>
          </w:tcPr>
          <w:p>
            <w:r>
              <w:t>Proposed — M00 review</w:t>
            </w:r>
          </w:p>
        </w:tc>
      </w:tr>
      <w:tr>
        <w:tc>
          <w:tcPr>
            <w:tcW w:type="dxa" w:w="3255"/>
          </w:tcPr>
          <w:p>
            <w:r>
              <w:t>ADR-018</w:t>
            </w:r>
          </w:p>
        </w:tc>
        <w:tc>
          <w:tcPr>
            <w:tcW w:type="dxa" w:w="3255"/>
          </w:tcPr>
          <w:p>
            <w:r>
              <w:t>Industry extension isolation</w:t>
            </w:r>
          </w:p>
        </w:tc>
        <w:tc>
          <w:tcPr>
            <w:tcW w:type="dxa" w:w="3255"/>
          </w:tcPr>
          <w:p>
            <w:r>
              <w:t>Proposed — M00 review</w:t>
            </w:r>
          </w:p>
        </w:tc>
      </w:tr>
    </w:tbl>
    <w:p/>
    <w:p>
      <w:r>
        <w:t>Every ADR must document context, alternatives, rationale, consequences, security/operational implications, migration approach and related requirements. Do not silently mark disputed decisions accepted.</w:t>
      </w:r>
    </w:p>
    <w:p>
      <w:pPr>
        <w:pStyle w:val="Heading1"/>
      </w:pPr>
      <w:r>
        <w:t>15. Codex repository standards</w:t>
      </w:r>
    </w:p>
    <w:p>
      <w:pPr>
        <w:pStyle w:val="NoSpacing"/>
      </w:pPr>
      <w:r>
        <w:rPr>
          <w:rFonts w:ascii="Consolas" w:hAnsi="Consolas"/>
          <w:sz w:val="14"/>
        </w:rPr>
        <w:t>infovish-erp/</w:t>
      </w:r>
    </w:p>
    <w:p>
      <w:pPr>
        <w:pStyle w:val="NoSpacing"/>
      </w:pPr>
      <w:r>
        <w:rPr>
          <w:rFonts w:ascii="Consolas" w:hAnsi="Consolas"/>
          <w:sz w:val="14"/>
        </w:rPr>
        <w:t xml:space="preserve">  apps/{erp-web,platform-admin,customer-portal,mobile}/</w:t>
      </w:r>
    </w:p>
    <w:p>
      <w:pPr>
        <w:pStyle w:val="NoSpacing"/>
      </w:pPr>
      <w:r>
        <w:rPr>
          <w:rFonts w:ascii="Consolas" w:hAnsi="Consolas"/>
          <w:sz w:val="14"/>
        </w:rPr>
        <w:t xml:space="preserve">  backend/{app,bootstrap,config,database,routes,tests}/</w:t>
      </w:r>
    </w:p>
    <w:p>
      <w:pPr>
        <w:pStyle w:val="NoSpacing"/>
      </w:pPr>
      <w:r>
        <w:rPr>
          <w:rFonts w:ascii="Consolas" w:hAnsi="Consolas"/>
          <w:sz w:val="14"/>
        </w:rPr>
        <w:t xml:space="preserve">  services/{ai-service,integration-workers}/</w:t>
      </w:r>
    </w:p>
    <w:p>
      <w:pPr>
        <w:pStyle w:val="NoSpacing"/>
      </w:pPr>
      <w:r>
        <w:rPr>
          <w:rFonts w:ascii="Consolas" w:hAnsi="Consolas"/>
          <w:sz w:val="14"/>
        </w:rPr>
        <w:t xml:space="preserve">  packages/{api-contracts,ui,module-sdk,shared-types}/</w:t>
      </w:r>
    </w:p>
    <w:p>
      <w:pPr>
        <w:pStyle w:val="NoSpacing"/>
      </w:pPr>
      <w:r>
        <w:rPr>
          <w:rFonts w:ascii="Consolas" w:hAnsi="Consolas"/>
          <w:sz w:val="14"/>
        </w:rPr>
        <w:t xml:space="preserve">  infrastructure/{docker,terraform,deployment,monitoring}/</w:t>
      </w:r>
    </w:p>
    <w:p>
      <w:pPr>
        <w:pStyle w:val="NoSpacing"/>
      </w:pPr>
      <w:r>
        <w:rPr>
          <w:rFonts w:ascii="Consolas" w:hAnsi="Consolas"/>
          <w:sz w:val="14"/>
        </w:rPr>
        <w:t xml:space="preserve">  docs/{requirements,architecture,engineering,modules,api,security,operations}/</w:t>
      </w:r>
    </w:p>
    <w:p>
      <w:pPr>
        <w:pStyle w:val="NoSpacing"/>
      </w:pPr>
      <w:r>
        <w:rPr>
          <w:rFonts w:ascii="Consolas" w:hAnsi="Consolas"/>
          <w:sz w:val="14"/>
        </w:rPr>
        <w:t xml:space="preserve">  .github/workflows/</w:t>
      </w:r>
    </w:p>
    <w:p>
      <w:pPr>
        <w:pStyle w:val="NoSpacing"/>
      </w:pPr>
      <w:r>
        <w:rPr>
          <w:rFonts w:ascii="Consolas" w:hAnsi="Consolas"/>
          <w:sz w:val="14"/>
        </w:rPr>
        <w:t xml:space="preserve">  AGENTS.md  README.md  CHANGELOG.md</w:t>
      </w:r>
    </w:p>
    <w:p>
      <w:r>
        <w:t>The root AGENTS.md must require reading PRD/SAD/ADRs, implementing only approved milestones, respecting module boundaries, tenant authorization, financial precision, test evidence, purposeful comments, documentation updates and review gates. Do not generate empty scaffolding for all future modules.</w:t>
      </w:r>
    </w:p>
    <w:p>
      <w:pPr>
        <w:pStyle w:val="Heading1"/>
      </w:pPr>
      <w:r>
        <w:t>16. Codex milestone roadmap</w:t>
      </w:r>
    </w:p>
    <w:tbl>
      <w:tblPr>
        <w:tblStyle w:val="LightShading-Accent1"/>
        <w:tblW w:type="auto" w:w="0"/>
        <w:jc w:val="center"/>
        <w:tblLook w:firstColumn="1" w:firstRow="1" w:lastColumn="0" w:lastRow="0" w:noHBand="0" w:noVBand="1" w:val="04A0"/>
      </w:tblPr>
      <w:tblGrid>
        <w:gridCol w:w="4882"/>
        <w:gridCol w:w="4882"/>
      </w:tblGrid>
      <w:tr>
        <w:tc>
          <w:tcPr>
            <w:tcW w:type="dxa" w:w="4882"/>
          </w:tcPr>
          <w:p>
            <w:r>
              <w:t>Milestone</w:t>
            </w:r>
          </w:p>
        </w:tc>
        <w:tc>
          <w:tcPr>
            <w:tcW w:type="dxa" w:w="4882"/>
          </w:tcPr>
          <w:p>
            <w:r>
              <w:t>Implementation scope</w:t>
            </w:r>
          </w:p>
        </w:tc>
      </w:tr>
      <w:tr>
        <w:tc>
          <w:tcPr>
            <w:tcW w:type="dxa" w:w="4882"/>
          </w:tcPr>
          <w:p>
            <w:r>
              <w:t>M00</w:t>
            </w:r>
          </w:p>
        </w:tc>
        <w:tc>
          <w:tcPr>
            <w:tcW w:type="dxa" w:w="4882"/>
          </w:tcPr>
          <w:p>
            <w:r>
              <w:t>Architecture validation and ADRs</w:t>
            </w:r>
          </w:p>
        </w:tc>
      </w:tr>
      <w:tr>
        <w:tc>
          <w:tcPr>
            <w:tcW w:type="dxa" w:w="4882"/>
          </w:tcPr>
          <w:p>
            <w:r>
              <w:t>M01</w:t>
            </w:r>
          </w:p>
        </w:tc>
        <w:tc>
          <w:tcPr>
            <w:tcW w:type="dxa" w:w="4882"/>
          </w:tcPr>
          <w:p>
            <w:r>
              <w:t>Monorepo, Laravel/React, Docker, CI</w:t>
            </w:r>
          </w:p>
        </w:tc>
      </w:tr>
      <w:tr>
        <w:tc>
          <w:tcPr>
            <w:tcW w:type="dxa" w:w="4882"/>
          </w:tcPr>
          <w:p>
            <w:r>
              <w:t>M02</w:t>
            </w:r>
          </w:p>
        </w:tc>
        <w:tc>
          <w:tcPr>
            <w:tcW w:type="dxa" w:w="4882"/>
          </w:tcPr>
          <w:p>
            <w:r>
              <w:t>Tenancy, IAM, organization, audit</w:t>
            </w:r>
          </w:p>
        </w:tc>
      </w:tr>
      <w:tr>
        <w:tc>
          <w:tcPr>
            <w:tcW w:type="dxa" w:w="4882"/>
          </w:tcPr>
          <w:p>
            <w:r>
              <w:t>M03</w:t>
            </w:r>
          </w:p>
        </w:tc>
        <w:tc>
          <w:tcPr>
            <w:tcW w:type="dxa" w:w="4882"/>
          </w:tcPr>
          <w:p>
            <w:r>
              <w:t>Module registry and shared catalog</w:t>
            </w:r>
          </w:p>
        </w:tc>
      </w:tr>
      <w:tr>
        <w:tc>
          <w:tcPr>
            <w:tcW w:type="dxa" w:w="4882"/>
          </w:tcPr>
          <w:p>
            <w:r>
              <w:t>M04</w:t>
            </w:r>
          </w:p>
        </w:tc>
        <w:tc>
          <w:tcPr>
            <w:tcW w:type="dxa" w:w="4882"/>
          </w:tcPr>
          <w:p>
            <w:r>
              <w:t>CRM</w:t>
            </w:r>
          </w:p>
        </w:tc>
      </w:tr>
      <w:tr>
        <w:tc>
          <w:tcPr>
            <w:tcW w:type="dxa" w:w="4882"/>
          </w:tcPr>
          <w:p>
            <w:r>
              <w:t>M05</w:t>
            </w:r>
          </w:p>
        </w:tc>
        <w:tc>
          <w:tcPr>
            <w:tcW w:type="dxa" w:w="4882"/>
          </w:tcPr>
          <w:p>
            <w:r>
              <w:t>Sales and first commercial release</w:t>
            </w:r>
          </w:p>
        </w:tc>
      </w:tr>
      <w:tr>
        <w:tc>
          <w:tcPr>
            <w:tcW w:type="dxa" w:w="4882"/>
          </w:tcPr>
          <w:p>
            <w:r>
              <w:t>M06</w:t>
            </w:r>
          </w:p>
        </w:tc>
        <w:tc>
          <w:tcPr>
            <w:tcW w:type="dxa" w:w="4882"/>
          </w:tcPr>
          <w:p>
            <w:r>
              <w:t>Accounting</w:t>
            </w:r>
          </w:p>
        </w:tc>
      </w:tr>
      <w:tr>
        <w:tc>
          <w:tcPr>
            <w:tcW w:type="dxa" w:w="4882"/>
          </w:tcPr>
          <w:p>
            <w:r>
              <w:t>M07</w:t>
            </w:r>
          </w:p>
        </w:tc>
        <w:tc>
          <w:tcPr>
            <w:tcW w:type="dxa" w:w="4882"/>
          </w:tcPr>
          <w:p>
            <w:r>
              <w:t>Inventory and procurement</w:t>
            </w:r>
          </w:p>
        </w:tc>
      </w:tr>
      <w:tr>
        <w:tc>
          <w:tcPr>
            <w:tcW w:type="dxa" w:w="4882"/>
          </w:tcPr>
          <w:p>
            <w:r>
              <w:t>M08</w:t>
            </w:r>
          </w:p>
        </w:tc>
        <w:tc>
          <w:tcPr>
            <w:tcW w:type="dxa" w:w="4882"/>
          </w:tcPr>
          <w:p>
            <w:r>
              <w:t>HR, projects, helpdesk, portals, documents</w:t>
            </w:r>
          </w:p>
        </w:tc>
      </w:tr>
      <w:tr>
        <w:tc>
          <w:tcPr>
            <w:tcW w:type="dxa" w:w="4882"/>
          </w:tcPr>
          <w:p>
            <w:r>
              <w:t>M09</w:t>
            </w:r>
          </w:p>
        </w:tc>
        <w:tc>
          <w:tcPr>
            <w:tcW w:type="dxa" w:w="4882"/>
          </w:tcPr>
          <w:p>
            <w:r>
              <w:t>Email, WhatsApp, inbox, automation</w:t>
            </w:r>
          </w:p>
        </w:tc>
      </w:tr>
      <w:tr>
        <w:tc>
          <w:tcPr>
            <w:tcW w:type="dxa" w:w="4882"/>
          </w:tcPr>
          <w:p>
            <w:r>
              <w:t>M10</w:t>
            </w:r>
          </w:p>
        </w:tc>
        <w:tc>
          <w:tcPr>
            <w:tcW w:type="dxa" w:w="4882"/>
          </w:tcPr>
          <w:p>
            <w:r>
              <w:t>AI and document intelligence</w:t>
            </w:r>
          </w:p>
        </w:tc>
      </w:tr>
      <w:tr>
        <w:tc>
          <w:tcPr>
            <w:tcW w:type="dxa" w:w="4882"/>
          </w:tcPr>
          <w:p>
            <w:r>
              <w:t>M11</w:t>
            </w:r>
          </w:p>
        </w:tc>
        <w:tc>
          <w:tcPr>
            <w:tcW w:type="dxa" w:w="4882"/>
          </w:tcPr>
          <w:p>
            <w:r>
              <w:t>Manufacturing, POS, commerce, subscriptions</w:t>
            </w:r>
          </w:p>
        </w:tc>
      </w:tr>
      <w:tr>
        <w:tc>
          <w:tcPr>
            <w:tcW w:type="dxa" w:w="4882"/>
          </w:tcPr>
          <w:p>
            <w:r>
              <w:t>M12</w:t>
            </w:r>
          </w:p>
        </w:tc>
        <w:tc>
          <w:tcPr>
            <w:tcW w:type="dxa" w:w="4882"/>
          </w:tcPr>
          <w:p>
            <w:r>
              <w:t>Studio and industry extensions</w:t>
            </w:r>
          </w:p>
        </w:tc>
      </w:tr>
      <w:tr>
        <w:tc>
          <w:tcPr>
            <w:tcW w:type="dxa" w:w="4882"/>
          </w:tcPr>
          <w:p>
            <w:r>
              <w:t>M13</w:t>
            </w:r>
          </w:p>
        </w:tc>
        <w:tc>
          <w:tcPr>
            <w:tcW w:type="dxa" w:w="4882"/>
          </w:tcPr>
          <w:p>
            <w:r>
              <w:t>Enterprise scale and cloud maturity</w:t>
            </w:r>
          </w:p>
        </w:tc>
      </w:tr>
    </w:tbl>
    <w:p/>
    <w:p>
      <w:r>
        <w:t>M00 must validate the architecture, select compatible tool versions, resolve blocking decisions and produce ADRs. M01 then creates a working Laravel/React/Inertia foundation with PostgreSQL, Redis, Docker, health checks, tests, CI and documented developer setup. Stop before M02 for review.</w:t>
      </w:r>
    </w:p>
    <w:p>
      <w:pPr>
        <w:pStyle w:val="Heading1"/>
      </w:pPr>
      <w:r>
        <w:t>17. Architecture acceptance gates</w:t>
      </w:r>
    </w:p>
    <w:tbl>
      <w:tblPr>
        <w:tblStyle w:val="LightShading-Accent1"/>
        <w:tblW w:type="auto" w:w="0"/>
        <w:jc w:val="center"/>
        <w:tblLook w:firstColumn="1" w:firstRow="1" w:lastColumn="0" w:lastRow="0" w:noHBand="0" w:noVBand="1" w:val="04A0"/>
      </w:tblPr>
      <w:tblGrid>
        <w:gridCol w:w="4882"/>
        <w:gridCol w:w="4882"/>
      </w:tblGrid>
      <w:tr>
        <w:tc>
          <w:tcPr>
            <w:tcW w:type="dxa" w:w="4882"/>
          </w:tcPr>
          <w:p>
            <w:r>
              <w:t>ID</w:t>
            </w:r>
          </w:p>
        </w:tc>
        <w:tc>
          <w:tcPr>
            <w:tcW w:type="dxa" w:w="4882"/>
          </w:tcPr>
          <w:p>
            <w:r>
              <w:t>Required validation</w:t>
            </w:r>
          </w:p>
        </w:tc>
      </w:tr>
      <w:tr>
        <w:tc>
          <w:tcPr>
            <w:tcW w:type="dxa" w:w="4882"/>
          </w:tcPr>
          <w:p>
            <w:r>
              <w:t>SAD-AC-001</w:t>
            </w:r>
          </w:p>
        </w:tc>
        <w:tc>
          <w:tcPr>
            <w:tcW w:type="dxa" w:w="4882"/>
          </w:tcPr>
          <w:p>
            <w:r>
              <w:t>Reproducible repository setup</w:t>
            </w:r>
          </w:p>
        </w:tc>
      </w:tr>
      <w:tr>
        <w:tc>
          <w:tcPr>
            <w:tcW w:type="dxa" w:w="4882"/>
          </w:tcPr>
          <w:p>
            <w:r>
              <w:t>SAD-AC-002</w:t>
            </w:r>
          </w:p>
        </w:tc>
        <w:tc>
          <w:tcPr>
            <w:tcW w:type="dxa" w:w="4882"/>
          </w:tcPr>
          <w:p>
            <w:r>
              <w:t>Automated module boundary validation</w:t>
            </w:r>
          </w:p>
        </w:tc>
      </w:tr>
      <w:tr>
        <w:tc>
          <w:tcPr>
            <w:tcW w:type="dxa" w:w="4882"/>
          </w:tcPr>
          <w:p>
            <w:r>
              <w:t>SAD-AC-003</w:t>
            </w:r>
          </w:p>
        </w:tc>
        <w:tc>
          <w:tcPr>
            <w:tcW w:type="dxa" w:w="4882"/>
          </w:tcPr>
          <w:p>
            <w:r>
              <w:t>Cross-tenant isolation verification</w:t>
            </w:r>
          </w:p>
        </w:tc>
      </w:tr>
      <w:tr>
        <w:tc>
          <w:tcPr>
            <w:tcW w:type="dxa" w:w="4882"/>
          </w:tcPr>
          <w:p>
            <w:r>
              <w:t>SAD-AC-004</w:t>
            </w:r>
          </w:p>
        </w:tc>
        <w:tc>
          <w:tcPr>
            <w:tcW w:type="dxa" w:w="4882"/>
          </w:tcPr>
          <w:p>
            <w:r>
              <w:t>Approved authentication controls</w:t>
            </w:r>
          </w:p>
        </w:tc>
      </w:tr>
      <w:tr>
        <w:tc>
          <w:tcPr>
            <w:tcW w:type="dxa" w:w="4882"/>
          </w:tcPr>
          <w:p>
            <w:r>
              <w:t>SAD-AC-005</w:t>
            </w:r>
          </w:p>
        </w:tc>
        <w:tc>
          <w:tcPr>
            <w:tcW w:type="dxa" w:w="4882"/>
          </w:tcPr>
          <w:p>
            <w:r>
              <w:t>Transactional financial/inventory integrity</w:t>
            </w:r>
          </w:p>
        </w:tc>
      </w:tr>
      <w:tr>
        <w:tc>
          <w:tcPr>
            <w:tcW w:type="dxa" w:w="4882"/>
          </w:tcPr>
          <w:p>
            <w:r>
              <w:t>SAD-AC-006</w:t>
            </w:r>
          </w:p>
        </w:tc>
        <w:tc>
          <w:tcPr>
            <w:tcW w:type="dxa" w:w="4882"/>
          </w:tcPr>
          <w:p>
            <w:r>
              <w:t>Outbox delivery and replay reliability</w:t>
            </w:r>
          </w:p>
        </w:tc>
      </w:tr>
      <w:tr>
        <w:tc>
          <w:tcPr>
            <w:tcW w:type="dxa" w:w="4882"/>
          </w:tcPr>
          <w:p>
            <w:r>
              <w:t>SAD-AC-007</w:t>
            </w:r>
          </w:p>
        </w:tc>
        <w:tc>
          <w:tcPr>
            <w:tcW w:type="dxa" w:w="4882"/>
          </w:tcPr>
          <w:p>
            <w:r>
              <w:t>Webhook idempotency</w:t>
            </w:r>
          </w:p>
        </w:tc>
      </w:tr>
      <w:tr>
        <w:tc>
          <w:tcPr>
            <w:tcW w:type="dxa" w:w="4882"/>
          </w:tcPr>
          <w:p>
            <w:r>
              <w:t>SAD-AC-008</w:t>
            </w:r>
          </w:p>
        </w:tc>
        <w:tc>
          <w:tcPr>
            <w:tcW w:type="dxa" w:w="4882"/>
          </w:tcPr>
          <w:p>
            <w:r>
              <w:t>AI permission enforcement</w:t>
            </w:r>
          </w:p>
        </w:tc>
      </w:tr>
      <w:tr>
        <w:tc>
          <w:tcPr>
            <w:tcW w:type="dxa" w:w="4882"/>
          </w:tcPr>
          <w:p>
            <w:r>
              <w:t>SAD-AC-009</w:t>
            </w:r>
          </w:p>
        </w:tc>
        <w:tc>
          <w:tcPr>
            <w:tcW w:type="dxa" w:w="4882"/>
          </w:tcPr>
          <w:p>
            <w:r>
              <w:t>Module compatibility checks</w:t>
            </w:r>
          </w:p>
        </w:tc>
      </w:tr>
      <w:tr>
        <w:tc>
          <w:tcPr>
            <w:tcW w:type="dxa" w:w="4882"/>
          </w:tcPr>
          <w:p>
            <w:r>
              <w:t>SAD-AC-010</w:t>
            </w:r>
          </w:p>
        </w:tc>
        <w:tc>
          <w:tcPr>
            <w:tcW w:type="dxa" w:w="4882"/>
          </w:tcPr>
          <w:p>
            <w:r>
              <w:t>CI prevents failing deployments</w:t>
            </w:r>
          </w:p>
        </w:tc>
      </w:tr>
      <w:tr>
        <w:tc>
          <w:tcPr>
            <w:tcW w:type="dxa" w:w="4882"/>
          </w:tcPr>
          <w:p>
            <w:r>
              <w:t>SAD-AC-011</w:t>
            </w:r>
          </w:p>
        </w:tc>
        <w:tc>
          <w:tcPr>
            <w:tcW w:type="dxa" w:w="4882"/>
          </w:tcPr>
          <w:p>
            <w:r>
              <w:t>Distributed traceability</w:t>
            </w:r>
          </w:p>
        </w:tc>
      </w:tr>
      <w:tr>
        <w:tc>
          <w:tcPr>
            <w:tcW w:type="dxa" w:w="4882"/>
          </w:tcPr>
          <w:p>
            <w:r>
              <w:t>SAD-AC-012</w:t>
            </w:r>
          </w:p>
        </w:tc>
        <w:tc>
          <w:tcPr>
            <w:tcW w:type="dxa" w:w="4882"/>
          </w:tcPr>
          <w:p>
            <w:r>
              <w:t>Verified restoration</w:t>
            </w:r>
          </w:p>
        </w:tc>
      </w:tr>
      <w:tr>
        <w:tc>
          <w:tcPr>
            <w:tcW w:type="dxa" w:w="4882"/>
          </w:tcPr>
          <w:p>
            <w:r>
              <w:t>SAD-AC-013</w:t>
            </w:r>
          </w:p>
        </w:tc>
        <w:tc>
          <w:tcPr>
            <w:tcW w:type="dxa" w:w="4882"/>
          </w:tcPr>
          <w:p>
            <w:r>
              <w:t>Versioned API contracts</w:t>
            </w:r>
          </w:p>
        </w:tc>
      </w:tr>
      <w:tr>
        <w:tc>
          <w:tcPr>
            <w:tcW w:type="dxa" w:w="4882"/>
          </w:tcPr>
          <w:p>
            <w:r>
              <w:t>SAD-AC-014</w:t>
            </w:r>
          </w:p>
        </w:tc>
        <w:tc>
          <w:tcPr>
            <w:tcW w:type="dxa" w:w="4882"/>
          </w:tcPr>
          <w:p>
            <w:r>
              <w:t>Measured performance targets</w:t>
            </w:r>
          </w:p>
        </w:tc>
      </w:tr>
      <w:tr>
        <w:tc>
          <w:tcPr>
            <w:tcW w:type="dxa" w:w="4882"/>
          </w:tcPr>
          <w:p>
            <w:r>
              <w:t>SAD-AC-015</w:t>
            </w:r>
          </w:p>
        </w:tc>
        <w:tc>
          <w:tcPr>
            <w:tcW w:type="dxa" w:w="4882"/>
          </w:tcPr>
          <w:p>
            <w:r>
              <w:t>Security findings resolved</w:t>
            </w:r>
          </w:p>
        </w:tc>
      </w:tr>
    </w:tbl>
    <w:p/>
    <w:p>
      <w:pPr>
        <w:pStyle w:val="Heading1"/>
      </w:pPr>
      <w:r>
        <w:t>18. Open decisions and implementation dependencies</w:t>
      </w:r>
    </w:p>
    <w:p>
      <w:pPr>
        <w:pStyle w:val="ListBullet"/>
      </w:pPr>
      <w:r>
        <w:t>Confirm database-per-tenant topology, provisioning approach, connection pooling and dedicated enterprise hosting.</w:t>
      </w:r>
    </w:p>
    <w:p>
      <w:pPr>
        <w:pStyle w:val="ListBullet"/>
      </w:pPr>
      <w:r>
        <w:t>Select specific supported framework and runtime versions during M00.</w:t>
      </w:r>
    </w:p>
    <w:p>
      <w:pPr>
        <w:pStyle w:val="ListBullet"/>
      </w:pPr>
      <w:r>
        <w:t>Finalize Sri Lankan accounting, tax, payroll and localization rules with qualified domain reviewers.</w:t>
      </w:r>
    </w:p>
    <w:p>
      <w:pPr>
        <w:pStyle w:val="ListBullet"/>
      </w:pPr>
      <w:r>
        <w:t>Approve provider onboarding, payment integrations and WhatsApp credentials lifecycle.</w:t>
      </w:r>
    </w:p>
    <w:p>
      <w:pPr>
        <w:pStyle w:val="ListBullet"/>
      </w:pPr>
      <w:r>
        <w:t>Define exact module data models, event schemas, public APIs and ownership before implementing each module.</w:t>
      </w:r>
    </w:p>
    <w:p>
      <w:pPr>
        <w:pStyle w:val="ListBullet"/>
      </w:pPr>
      <w:r>
        <w:t>Specify cloud provider, capacity, monitoring, backup and recovery operations.</w:t>
      </w:r>
    </w:p>
    <w:p>
      <w:pPr>
        <w:pStyle w:val="ListBullet"/>
      </w:pPr>
      <w:r>
        <w:t>Define offline mobile scope, AI provider policies and enterprise commitments.</w:t>
      </w:r>
    </w:p>
    <w:p>
      <w:pPr>
        <w:pStyle w:val="Heading1"/>
      </w:pPr>
      <w:r>
        <w:t>19. Document status and next action</w:t>
      </w:r>
    </w:p>
    <w:p>
      <w:r>
        <w:t>This SAD is an implementation-oriented architectural baseline, not evidence that all subsystems are coded or production-validated. Next: complete M00 architecture review, approve blocking ADRs, then implement M01 engineering foundation through Codex. Review Figma wireframes as a visual reference at https://meta-drawn-18880799.figma.site.</w:t>
      </w:r>
    </w:p>
    <w:sectPr w:rsidR="00FC693F" w:rsidRPr="0006063C" w:rsidSect="00034616">
      <w:footerReference w:type="default" r:id="rId17"/>
      <w:pgSz w:w="12240" w:h="15840"/>
      <w:pgMar w:top="1123"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Infovish Systems  |  SAD v1.0  |  Proposed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41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508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2B5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