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60"/>
        <w:jc w:val="center"/>
      </w:pPr>
      <w:r>
        <w:rPr>
          <w:rFonts w:ascii="Calibri" w:cs="Calibri" w:eastAsia="Calibri" w:hAnsi="Calibri"/>
          <w:b/>
          <w:bCs/>
          <w:i w:val="false"/>
          <w:iCs w:val="false"/>
          <w:color w:val="E53935"/>
          <w:sz w:val="16"/>
          <w:szCs w:val="16"/>
        </w:rPr>
        <w:t xml:space="preserve">CONFIDENTIAL</w:t>
      </w:r>
    </w:p>
    <w:p>
      <w:pPr>
        <w:spacing w:before="0" w:after="120"/>
        <w:jc w:val="center"/>
      </w:pPr>
      <w:r>
        <w:rPr>
          <w:rFonts w:ascii="Calibri" w:cs="Calibri" w:eastAsia="Calibri" w:hAnsi="Calibri"/>
          <w:b/>
          <w:bCs/>
          <w:i w:val="false"/>
          <w:iCs w:val="false"/>
          <w:color w:val="1A237E"/>
          <w:sz w:val="64"/>
          <w:szCs w:val="64"/>
        </w:rPr>
        <w:t xml:space="preserve">APEXIQ</w:t>
      </w:r>
    </w:p>
    <w:p>
      <w:pPr>
        <w:spacing w:before="0" w:after="80"/>
        <w:jc w:val="center"/>
      </w:pPr>
      <w:r>
        <w:rPr>
          <w:rFonts w:ascii="Calibri" w:cs="Calibri" w:eastAsia="Calibri" w:hAnsi="Calibri"/>
          <w:b/>
          <w:bCs/>
          <w:i w:val="false"/>
          <w:iCs w:val="false"/>
          <w:color w:val="1A1A2E"/>
          <w:sz w:val="28"/>
          <w:szCs w:val="28"/>
        </w:rPr>
        <w:t xml:space="preserve">Institutional Pitch — Strategic Feedback Report</w:t>
      </w:r>
    </w:p>
    <w:p>
      <w:pPr>
        <w:spacing w:before="0" w:after="60"/>
        <w:jc w:val="center"/>
      </w:pPr>
      <w:r>
        <w:rPr>
          <w:rFonts w:ascii="Calibri" w:cs="Calibri" w:eastAsia="Calibri" w:hAnsi="Calibri"/>
          <w:b w:val="false"/>
          <w:bCs w:val="false"/>
          <w:i w:val="false"/>
          <w:iCs w:val="false"/>
          <w:color w:val="546E7A"/>
          <w:sz w:val="20"/>
          <w:szCs w:val="20"/>
        </w:rPr>
        <w:t xml:space="preserve">Prepared in response to client review notes</w:t>
      </w:r>
    </w:p>
    <w:p>
      <w:pPr>
        <w:pBdr>
          <w:bottom w:val="single" w:color="1A237E" w:sz="4" w:space="1"/>
        </w:pBdr>
        <w:spacing w:before="100" w:after="10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60"/>
        <w:jc w:val="center"/>
      </w:pPr>
      <w:r>
        <w:rPr>
          <w:rFonts w:ascii="Calibri" w:cs="Calibri" w:eastAsia="Calibri" w:hAnsi="Calibri"/>
          <w:b w:val="false"/>
          <w:bCs w:val="false"/>
          <w:i w:val="false"/>
          <w:iCs w:val="false"/>
          <w:color w:val="546E7A"/>
          <w:sz w:val="18"/>
          <w:szCs w:val="18"/>
        </w:rPr>
        <w:t xml:space="preserve">Date: March 2026  ·  Version: 1.0  ·  Prepared by: APEXIQ Team</w:t>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Executive Summary</w:t>
      </w:r>
    </w:p>
    <w:p>
      <w:pPr>
        <w:spacing w:before="80" w:after="80"/>
      </w:pPr>
      <w:r>
        <w:rPr>
          <w:rFonts w:ascii="Calibri" w:cs="Calibri" w:eastAsia="Calibri" w:hAnsi="Calibri"/>
          <w:b w:val="false"/>
          <w:bCs w:val="false"/>
          <w:i w:val="false"/>
          <w:iCs w:val="false"/>
          <w:color w:val="1A1A2E"/>
          <w:sz w:val="20"/>
          <w:szCs w:val="20"/>
        </w:rPr>
        <w:t xml:space="preserve">This report is a structured response to strategic feedback received from our institutional client regarding the APEXIQ proposal. The client's core message is clear and constructive:</w:t>
      </w:r>
    </w:p>
    <w:p>
      <w:pPr>
        <w:spacing w:before="0" w:after="8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EEF2FF" w:val="clear"/>
            <w:tcMar>
              <w:top w:type="dxa" w:w="100"/>
              <w:left w:type="dxa" w:w="200"/>
              <w:bottom w:type="dxa" w:w="60"/>
              <w:right w:type="dxa" w:w="200"/>
            </w:tcMar>
          </w:tcPr>
          <w:p>
            <w:pPr>
              <w:spacing w:before="60" w:after="60"/>
            </w:pPr>
            <w:r>
              <w:rPr>
                <w:rFonts w:ascii="Calibri" w:cs="Calibri" w:eastAsia="Calibri" w:hAnsi="Calibri"/>
                <w:b/>
                <w:bCs/>
                <w:i w:val="false"/>
                <w:iCs w:val="false"/>
                <w:color w:val="1A237E"/>
                <w:sz w:val="19"/>
                <w:szCs w:val="19"/>
              </w:rPr>
              <w:t xml:space="preserve">📌  Client's Core Statement</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"Right now, we have a great product idea but a mid-level institutional pitch."</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The product concept is strong — in fact, more advanced than most Indian EdTechs on paper.</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But the current pitch reads like a technology demo, not a trust-ready education solution.</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80" w:after="100"/>
      </w:pPr>
      <w:r>
        <w:rPr>
          <w:rFonts w:ascii="Calibri" w:cs="Calibri" w:eastAsia="Calibri" w:hAnsi="Calibri"/>
          <w:b w:val="false"/>
          <w:bCs w:val="false"/>
          <w:i w:val="false"/>
          <w:iCs w:val="false"/>
          <w:color w:val="1A1A2E"/>
          <w:sz w:val="20"/>
          <w:szCs w:val="20"/>
        </w:rPr>
        <w:t xml:space="preserve">The feedback covers 10 distinct areas. This report addresses each one with our counter-position, proposed fixes, and a clear action plan. The key finding is: the product does not need to change — the story does.</w:t>
      </w:r>
    </w:p>
    <w:p>
      <w:pPr>
        <w:spacing w:before="0" w:after="80"/>
      </w:pPr>
      <w:r>
        <w:rPr>
          <w:rFonts w:ascii="Calibri" w:cs="Calibri" w:eastAsia="Calibri" w:hAnsi="Calibri"/>
          <w:b w:val="false"/>
          <w:bCs w:val="false"/>
          <w:i w:val="false"/>
          <w:iCs w:val="false"/>
          <w:color w:val="1A1A2E"/>
          <w:sz w:val="20"/>
          <w:szCs w:val="20"/>
        </w:rPr>
        <w:t xml:space="preserve"/>
      </w:r>
    </w:p>
    <w:p>
      <w:pPr>
        <w:spacing w:before="280" w:after="120"/>
      </w:pPr>
      <w:r>
        <w:rPr>
          <w:rFonts w:ascii="Calibri" w:cs="Calibri" w:eastAsia="Calibri" w:hAnsi="Calibri"/>
          <w:b/>
          <w:bCs/>
          <w:i w:val="false"/>
          <w:iCs w:val="false"/>
          <w:color w:val="1A237E"/>
          <w:sz w:val="26"/>
          <w:szCs w:val="26"/>
        </w:rPr>
        <w:t xml:space="preserve">Overall Assessment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2280"/>
        <w:gridCol w:w="2040"/>
      </w:tblGrid>
      <w:tr>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Feedback Area</w:t>
            </w:r>
          </w:p>
        </w:tc>
        <w:tc>
          <w:tcPr>
            <w:tcW w:type="dxa" w:w="2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Client Concern Level</w:t>
            </w:r>
          </w:p>
        </w:tc>
        <w:tc>
          <w:tcPr>
            <w:tcW w:type="dxa" w:w="22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Our Counter Strength</w:t>
            </w:r>
          </w:p>
        </w:tc>
        <w:tc>
          <w:tcPr>
            <w:tcW w:type="dxa" w:w="2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Action Required</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Content Quality</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High</w:t>
            </w:r>
          </w:p>
        </w:tc>
        <w:tc>
          <w:tcPr>
            <w:tcW w:type="dxa" w:w="228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Strong — LLM-powered</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Reframe messaging</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 Replacement Fear</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High</w:t>
            </w:r>
          </w:p>
        </w:tc>
        <w:tc>
          <w:tcPr>
            <w:tcW w:type="dxa" w:w="228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Strong — Thali analogy</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Redesign narrative</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Proof / Evidence Layer</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B71C1C"/>
                <w:sz w:val="18"/>
                <w:szCs w:val="18"/>
              </w:rPr>
              <w:t xml:space="preserve">Critical</w:t>
            </w:r>
          </w:p>
        </w:tc>
        <w:tc>
          <w:tcPr>
            <w:tcW w:type="dxa" w:w="228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E53935"/>
                <w:sz w:val="18"/>
                <w:szCs w:val="18"/>
              </w:rPr>
              <w:t xml:space="preserve">Weak — needs pilot</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Run micro-pilot NOW</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Story Complexity</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High</w:t>
            </w:r>
          </w:p>
        </w:tc>
        <w:tc>
          <w:tcPr>
            <w:tcW w:type="dxa" w:w="228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1565C0"/>
                <w:sz w:val="18"/>
                <w:szCs w:val="18"/>
              </w:rPr>
              <w:t xml:space="preserve">Fixable — 3 pillars</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Restructure pitch deck</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Career &amp; Placement Angle</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E65100"/>
                <w:sz w:val="18"/>
                <w:szCs w:val="18"/>
              </w:rPr>
              <w:t xml:space="preserve">Medium</w:t>
            </w:r>
          </w:p>
        </w:tc>
        <w:tc>
          <w:tcPr>
            <w:tcW w:type="dxa" w:w="228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Strong — underplayed</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Move to front of deck</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Adoption Strategy</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High</w:t>
            </w:r>
          </w:p>
        </w:tc>
        <w:tc>
          <w:tcPr>
            <w:tcW w:type="dxa" w:w="228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1565C0"/>
                <w:sz w:val="18"/>
                <w:szCs w:val="18"/>
              </w:rPr>
              <w:t xml:space="preserve">Defined internally</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Add timeline slide</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Pricing Model</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B71C1C"/>
                <w:sz w:val="18"/>
                <w:szCs w:val="18"/>
              </w:rPr>
              <w:t xml:space="preserve">Critical</w:t>
            </w:r>
          </w:p>
        </w:tc>
        <w:tc>
          <w:tcPr>
            <w:tcW w:type="dxa" w:w="228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E53935"/>
                <w:sz w:val="18"/>
                <w:szCs w:val="18"/>
              </w:rPr>
              <w:t xml:space="preserve">Not in pitch</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Add pricing slide</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 Psychology</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High</w:t>
            </w:r>
          </w:p>
        </w:tc>
        <w:tc>
          <w:tcPr>
            <w:tcW w:type="dxa" w:w="228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1565C0"/>
                <w:sz w:val="18"/>
                <w:szCs w:val="18"/>
              </w:rPr>
              <w:t xml:space="preserve">Addressable</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Reframe features</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Association Dashboard</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E65100"/>
                <w:sz w:val="18"/>
                <w:szCs w:val="18"/>
              </w:rPr>
              <w:t xml:space="preserve">Medium</w:t>
            </w:r>
          </w:p>
        </w:tc>
        <w:tc>
          <w:tcPr>
            <w:tcW w:type="dxa" w:w="228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Easy to build</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Add concept slide</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Over-claiming Language</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65100"/>
                <w:sz w:val="18"/>
                <w:szCs w:val="18"/>
              </w:rPr>
              <w:t xml:space="preserve">Medium</w:t>
            </w:r>
          </w:p>
        </w:tc>
        <w:tc>
          <w:tcPr>
            <w:tcW w:type="dxa" w:w="228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Easy fix</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Edit language</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01  Content Quality — "AI Without Content Won't Hold Students"</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Drawing from the BYJU'S failure model, the client flagged that without high-quality structured content, AI features alone cannot retain students. They observed that our pitch is AI-first but content appears absent.</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Our Counter-Position — This Is Actually Our Strength</w:t>
      </w:r>
    </w:p>
    <w:p>
      <w:pPr>
        <w:spacing w:before="60" w:after="60"/>
      </w:pPr>
      <w:r>
        <w:rPr>
          <w:rFonts w:ascii="Calibri" w:cs="Calibri" w:eastAsia="Calibri" w:hAnsi="Calibri"/>
          <w:b w:val="false"/>
          <w:bCs w:val="false"/>
          <w:i w:val="false"/>
          <w:iCs w:val="false"/>
          <w:color w:val="1A1A2E"/>
          <w:sz w:val="20"/>
          <w:szCs w:val="20"/>
        </w:rPr>
        <w:t xml:space="preserve">APEXIQ does not need to produce or own content. The LLMs powering the platform have comprehensively ingested:</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Complete JEE and NEET syllabi across all years and difficulty levels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NCERT textbooks from Class 6 through Class 12</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Previous Year Question papers spanning 15+ years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Concept explanations at Easy, Medium, and Hard levels for every topic</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Solution walkthroughs, formula derivations, and common mistake patterns</w:t>
      </w:r>
    </w:p>
    <w:p>
      <w:pPr>
        <w:spacing w:before="0" w:after="8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00"/>
              <w:left w:type="dxa" w:w="200"/>
              <w:bottom w:type="dxa" w:w="60"/>
              <w:right w:type="dxa" w:w="200"/>
            </w:tcMar>
          </w:tcPr>
          <w:p>
            <w:pPr>
              <w:spacing w:before="60" w:after="60"/>
            </w:pPr>
            <w:r>
              <w:rPr>
                <w:rFonts w:ascii="Calibri" w:cs="Calibri" w:eastAsia="Calibri" w:hAnsi="Calibri"/>
                <w:b/>
                <w:bCs/>
                <w:i w:val="false"/>
                <w:iCs w:val="false"/>
                <w:color w:val="2E7D32"/>
                <w:sz w:val="19"/>
                <w:szCs w:val="19"/>
              </w:rPr>
              <w:t xml:space="preserve">✅  Key Advantage vs BYJU'S</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BYJU'S burned hundreds of crores producing video content that goes stale every year.</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APEXIQ's content layer is the AI itself — infinite, always current, zero production cost.</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don't replace content. We make the teacher's existing content smarter.</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What to Say in the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EEF2FF" w:val="clear"/>
            <w:tcMar>
              <w:top w:type="dxa" w:w="100"/>
              <w:left w:type="dxa" w:w="200"/>
              <w:bottom w:type="dxa" w:w="60"/>
              <w:right w:type="dxa" w:w="200"/>
            </w:tcMar>
          </w:tcPr>
          <w:p>
            <w:pPr>
              <w:spacing w:before="60" w:after="60"/>
            </w:pPr>
            <w:r>
              <w:rPr>
                <w:rFonts w:ascii="Calibri" w:cs="Calibri" w:eastAsia="Calibri" w:hAnsi="Calibri"/>
                <w:b/>
                <w:bCs/>
                <w:i w:val="false"/>
                <w:iCs w:val="false"/>
                <w:color w:val="1565C0"/>
                <w:sz w:val="19"/>
                <w:szCs w:val="19"/>
              </w:rPr>
              <w:t xml:space="preserve">💬  Recommended Pitch Language</w:t>
            </w:r>
          </w:p>
        </w:tc>
      </w:tr>
      <w:tr>
        <w:tc>
          <w:tcPr>
            <w:tcBorders>
              <w:top w:val="single" w:color="1565C0" w:sz="1"/>
              <w:left w:val="single" w:color="1565C0" w:sz="1"/>
              <w:bottom w:val="single" w:color="1565C0" w:sz="1"/>
              <w:right w:val="single" w:color="1565C0"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"Content is not our bottleneck — it is our engine. We layer AI intelligence on top of</w:t>
            </w:r>
          </w:p>
        </w:tc>
      </w:tr>
      <w:tr>
        <w:tc>
          <w:tcPr>
            <w:tcBorders>
              <w:top w:val="single" w:color="1565C0" w:sz="1"/>
              <w:left w:val="single" w:color="1565C0" w:sz="1"/>
              <w:bottom w:val="single" w:color="1565C0" w:sz="1"/>
              <w:right w:val="single" w:color="1565C0"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the teacher's existing structured classroom. The teacher brings the curriculum.</w:t>
            </w:r>
          </w:p>
        </w:tc>
      </w:tr>
      <w:tr>
        <w:tc>
          <w:tcPr>
            <w:tcBorders>
              <w:top w:val="single" w:color="1565C0" w:sz="1"/>
              <w:left w:val="single" w:color="1565C0" w:sz="1"/>
              <w:bottom w:val="single" w:color="1565C0" w:sz="1"/>
              <w:right w:val="single" w:color="1565C0"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We bring the intelligence that makes it work harder for every student."</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02  Teacher Replacement Fear — "AI Is The Hero But Teachers Drive Adoption"</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In India, teacher trust drives platform adoption. The PW (Physics Wallah) model succeeds because "Teacher is the hero." Our current positioning — where AI is the hero — creates a psychological threat for teachers. They may feel the system is replacing or judging them, and resist silently.</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Our Counter-Position — The Thali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FFF3E0" w:val="clear"/>
            <w:tcMar>
              <w:top w:type="dxa" w:w="100"/>
              <w:left w:type="dxa" w:w="200"/>
              <w:bottom w:type="dxa" w:w="60"/>
              <w:right w:type="dxa" w:w="200"/>
            </w:tcMar>
          </w:tcPr>
          <w:p>
            <w:pPr>
              <w:spacing w:before="60" w:after="60"/>
            </w:pPr>
            <w:r>
              <w:rPr>
                <w:rFonts w:ascii="Calibri" w:cs="Calibri" w:eastAsia="Calibri" w:hAnsi="Calibri"/>
                <w:b/>
                <w:bCs/>
                <w:i w:val="false"/>
                <w:iCs w:val="false"/>
                <w:color w:val="E65100"/>
                <w:sz w:val="19"/>
                <w:szCs w:val="19"/>
              </w:rPr>
              <w:t xml:space="preserve">🍽️  The Thali Analogy — Use This Exact Framing</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A student's learning is like a thali. Right now it has rice and dal —</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the physical class, the teacher's explanation, the whiteboard. It works.</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Students survive on it.</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APEXIQ adds the mushroom and paneer.</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Same teacher. Same classroom. Same physical sessions.</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But now the student goes home and has an AI that:</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Helps them revise at 2 AM before the exam</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Clears doubts instantly without bothering the teacher</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Identifies exactly where they are stuck</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Builds a personalised plan around the teacher's schedule</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The teacher does not lose anything.</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The student gains everything.</w:t>
            </w:r>
          </w:p>
        </w:tc>
      </w:tr>
      <w:tr>
        <w:tc>
          <w:tcPr>
            <w:tcBorders>
              <w:top w:val="single" w:color="E65100" w:sz="1"/>
              <w:left w:val="single" w:color="E65100" w:sz="1"/>
              <w:bottom w:val="single" w:color="E65100" w:sz="1"/>
              <w:right w:val="single" w:color="E65100" w:sz="1"/>
            </w:tcBorders>
            <w:shd w:fill="FFF3E0"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The teacher's results improve. They look better. The AI made the teacher successful.</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Feature Renaming — Teacher Feels Celebrated, Not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Current Feature Name</w:t>
            </w:r>
          </w:p>
        </w:tc>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Rename To</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Why It Works</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AI Doubt Clearing</w:t>
            </w:r>
          </w:p>
        </w:tc>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Students' 24/7 Study Partner</w:t>
            </w:r>
          </w:p>
        </w:tc>
        <w:tc>
          <w:tcPr>
            <w:tcW w:type="dxa" w:w="33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 not involved — no threat</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Performance Analytics</w:t>
            </w:r>
          </w:p>
        </w:tc>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Student Progress at a Glance</w:t>
            </w:r>
          </w:p>
        </w:tc>
        <w:tc>
          <w:tcPr>
            <w:tcW w:type="dxa" w:w="33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 saves time, looks better</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Engagement Heatmap</w:t>
            </w:r>
          </w:p>
        </w:tc>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Confusion Hotspot Detector</w:t>
            </w:r>
          </w:p>
        </w:tc>
        <w:tc>
          <w:tcPr>
            <w:tcW w:type="dxa" w:w="33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Helps teacher improve their lecture</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 Flag Student</w:t>
            </w:r>
          </w:p>
        </w:tc>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Attention Alert System</w:t>
            </w:r>
          </w:p>
        </w:tc>
        <w:tc>
          <w:tcPr>
            <w:tcW w:type="dxa" w:w="33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Feels like support, not surveillance</w:t>
            </w:r>
          </w:p>
        </w:tc>
      </w:tr>
      <w:tr>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Error Type Analysis</w:t>
            </w:r>
          </w:p>
        </w:tc>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Learning Gap Identifier</w:t>
            </w:r>
          </w:p>
        </w:tc>
        <w:tc>
          <w:tcPr>
            <w:tcW w:type="dxa" w:w="33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Neutral, data-driven language</w:t>
            </w:r>
          </w:p>
        </w:tc>
      </w:tr>
      <w:tr>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Auto Quiz Grading</w:t>
            </w:r>
          </w:p>
        </w:tc>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Save 5 Hours/Week on Correction</w:t>
            </w:r>
          </w:p>
        </w:tc>
        <w:tc>
          <w:tcPr>
            <w:tcW w:type="dxa" w:w="33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Direct personal benefit to teacher</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What to Add to the Pitch</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Dedicated slide: "APEXIQ as Your Teaching Assistant"</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Teacher recognition dashboard — top faculty leaderboard inside the institute</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Testimonial framing: "AI does the grunt work. You do the teaching."</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Show: teacher workload BEFORE vs AFTER APEXIQ (hours saved per week)</w:t>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03  Proof Layer — "Right Now It's All Claims. We Need Evidence."</w:t>
      </w:r>
    </w:p>
    <w:p>
      <w:pPr>
        <w:spacing w:before="200" w:after="80"/>
      </w:pPr>
      <w:r>
        <w:rPr>
          <w:rFonts w:ascii="Calibri" w:cs="Calibri" w:eastAsia="Calibri" w:hAnsi="Calibri"/>
          <w:b/>
          <w:bCs/>
          <w:i w:val="false"/>
          <w:iCs w:val="false"/>
          <w:color w:val="1A1A2E"/>
          <w:sz w:val="22"/>
          <w:szCs w:val="22"/>
        </w:rPr>
        <w:t xml:space="preserve">What the Client Said — CRITICAL</w:t>
      </w:r>
    </w:p>
    <w:p>
      <w:pPr>
        <w:spacing w:before="60" w:after="60"/>
      </w:pPr>
      <w:r>
        <w:rPr>
          <w:rFonts w:ascii="Calibri" w:cs="Calibri" w:eastAsia="Calibri" w:hAnsi="Calibri"/>
          <w:b w:val="false"/>
          <w:bCs w:val="false"/>
          <w:i w:val="false"/>
          <w:iCs w:val="false"/>
          <w:color w:val="1A1A2E"/>
          <w:sz w:val="20"/>
          <w:szCs w:val="20"/>
        </w:rPr>
        <w:t xml:space="preserve">This is the most important feedback point. The pitch currently has no "before vs after" data, no real teacher usage numbers, no student improvement case study. Institutions will not commit without evidence.</w:t>
      </w:r>
    </w:p>
    <w:p>
      <w:pPr>
        <w:spacing w:before="0" w:after="8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1"/>
              <w:left w:val="single" w:color="E53935" w:sz="1"/>
              <w:bottom w:val="single" w:color="E53935" w:sz="1"/>
              <w:right w:val="single" w:color="E53935" w:sz="1"/>
            </w:tcBorders>
            <w:shd w:fill="FFEBEE" w:val="clear"/>
            <w:tcMar>
              <w:top w:type="dxa" w:w="100"/>
              <w:left w:type="dxa" w:w="200"/>
              <w:bottom w:type="dxa" w:w="60"/>
              <w:right w:type="dxa" w:w="200"/>
            </w:tcMar>
          </w:tcPr>
          <w:p>
            <w:pPr>
              <w:spacing w:before="60" w:after="60"/>
            </w:pPr>
            <w:r>
              <w:rPr>
                <w:rFonts w:ascii="Calibri" w:cs="Calibri" w:eastAsia="Calibri" w:hAnsi="Calibri"/>
                <w:b/>
                <w:bCs/>
                <w:i w:val="false"/>
                <w:iCs w:val="false"/>
                <w:color w:val="E53935"/>
                <w:sz w:val="19"/>
                <w:szCs w:val="19"/>
              </w:rPr>
              <w:t xml:space="preserve">⚠️  Current State</w:t>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say: "Students improve with APEXIQ"</w:t>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need: "Students at XYZ Institute improved from Rank 42,000 to Rank 18,000 in 60 days"</w:t>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say: "Teachers save 5 hours per week"</w:t>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need: A demo flow showing exactly how — step by step — with a real teacher using it</w:t>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say: "ROI is high"</w:t>
            </w:r>
          </w:p>
        </w:tc>
      </w:tr>
      <w:tr>
        <w:tc>
          <w:tcPr>
            <w:tcBorders>
              <w:top w:val="single" w:color="E53935" w:sz="1"/>
              <w:left w:val="single" w:color="E53935" w:sz="1"/>
              <w:bottom w:val="single" w:color="E53935" w:sz="1"/>
              <w:right w:val="single" w:color="E53935" w:sz="1"/>
            </w:tcBorders>
            <w:shd w:fill="FFEBEE"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need: A slide that calculates cost per student vs outcome improvement</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Two Paths to Fix This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0" w:after="80"/>
            </w:pPr>
            <w:r>
              <w:rPr>
                <w:rFonts w:ascii="Calibri" w:cs="Calibri" w:eastAsia="Calibri" w:hAnsi="Calibri"/>
                <w:b/>
                <w:bCs/>
                <w:i w:val="false"/>
                <w:iCs w:val="false"/>
                <w:color w:val="2E7D32"/>
                <w:sz w:val="20"/>
                <w:szCs w:val="20"/>
              </w:rPr>
              <w:t xml:space="preserve">OPTION A — Micro Pilot</w:t>
            </w:r>
          </w:p>
          <w:p>
            <w:pPr>
              <w:spacing w:before="60" w:after="40"/>
            </w:pPr>
            <w:r>
              <w:rPr>
                <w:rFonts w:ascii="Calibri" w:cs="Calibri" w:eastAsia="Calibri" w:hAnsi="Calibri"/>
                <w:b w:val="false"/>
                <w:bCs w:val="false"/>
                <w:i w:val="false"/>
                <w:iCs w:val="false"/>
                <w:color w:val="1A1A2E"/>
                <w:sz w:val="19"/>
                <w:szCs w:val="19"/>
              </w:rPr>
              <w:t xml:space="preserve">Run a 4-week pilot with:</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1 batch</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30 students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2 teachers</w:t>
            </w:r>
          </w:p>
          <w:p>
            <w:pPr>
              <w:spacing w:before="80" w:after="40"/>
            </w:pPr>
            <w:r>
              <w:rPr>
                <w:rFonts w:ascii="Calibri" w:cs="Calibri" w:eastAsia="Calibri" w:hAnsi="Calibri"/>
                <w:b w:val="false"/>
                <w:bCs w:val="false"/>
                <w:i w:val="false"/>
                <w:iCs w:val="false"/>
                <w:color w:val="1A1A2E"/>
                <w:sz w:val="19"/>
                <w:szCs w:val="19"/>
              </w:rPr>
              <w:t xml:space="preserve">Collect:</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Before diagnostic scores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After 4-week scores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Teacher hours saved</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Doubt resolution rate</w:t>
            </w:r>
          </w:p>
          <w:p>
            <w:pPr>
              <w:spacing w:before="80" w:after="0"/>
            </w:pPr>
            <w:r>
              <w:rPr>
                <w:rFonts w:ascii="Calibri" w:cs="Calibri" w:eastAsia="Calibri" w:hAnsi="Calibri"/>
                <w:b/>
                <w:bCs/>
                <w:i w:val="false"/>
                <w:iCs w:val="false"/>
                <w:color w:val="2E7D32"/>
                <w:sz w:val="19"/>
                <w:szCs w:val="19"/>
              </w:rPr>
              <w:t xml:space="preserve">This becomes your proof slide.</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0" w:after="80"/>
            </w:pPr>
            <w:r>
              <w:rPr>
                <w:rFonts w:ascii="Calibri" w:cs="Calibri" w:eastAsia="Calibri" w:hAnsi="Calibri"/>
                <w:b/>
                <w:bCs/>
                <w:i w:val="false"/>
                <w:iCs w:val="false"/>
                <w:color w:val="1565C0"/>
                <w:sz w:val="20"/>
                <w:szCs w:val="20"/>
              </w:rPr>
              <w:t xml:space="preserve">OPTION B — Use Existing Data</w:t>
            </w:r>
          </w:p>
          <w:p>
            <w:pPr>
              <w:spacing w:before="60" w:after="40"/>
            </w:pPr>
            <w:r>
              <w:rPr>
                <w:rFonts w:ascii="Calibri" w:cs="Calibri" w:eastAsia="Calibri" w:hAnsi="Calibri"/>
                <w:b w:val="false"/>
                <w:bCs w:val="false"/>
                <w:i w:val="false"/>
                <w:iCs w:val="false"/>
                <w:color w:val="1A1A2E"/>
                <w:sz w:val="19"/>
                <w:szCs w:val="19"/>
              </w:rPr>
              <w:t xml:space="preserve">The platform already tracks everything needed for proof automatically:</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Diagnostic test baseline rank</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Week-by-week improvement</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Gate lock pass rates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Doubt resolution time</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Teacher hours saved via auto-grading</w:t>
            </w:r>
          </w:p>
          <w:p>
            <w:pPr>
              <w:spacing w:before="80" w:after="0"/>
            </w:pPr>
            <w:r>
              <w:rPr>
                <w:rFonts w:ascii="Calibri" w:cs="Calibri" w:eastAsia="Calibri" w:hAnsi="Calibri"/>
                <w:b/>
                <w:bCs/>
                <w:i w:val="false"/>
                <w:iCs w:val="false"/>
                <w:color w:val="1565C0"/>
                <w:sz w:val="19"/>
                <w:szCs w:val="19"/>
              </w:rPr>
              <w:t xml:space="preserve">Use the first real student's data journey as your case study.</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04  Simplify the Story — "7 Modules Confuse Decision Makers"</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The current pitch lists 7 modules and multiple workflows. Decision makers — principals, registrars, association heads — get confused. Complex feature lists feel like unfinished software, not a proven solution.</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The Fix — Collapse Into 3 Clear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3600"/>
        <w:gridCol w:w="1800"/>
      </w:tblGrid>
      <w:tr>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Pillar</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Who Cares</w:t>
            </w:r>
          </w:p>
        </w:tc>
        <w:tc>
          <w:tcPr>
            <w:tcW w:type="dxa" w:w="3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What Goes Inside</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Outcome Metric</w:t>
            </w:r>
          </w:p>
        </w:tc>
      </w:tr>
      <w:tr>
        <w:tc>
          <w:tcPr>
            <w:tcW w:type="dxa" w:w="21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1A237E"/>
                <w:sz w:val="18"/>
                <w:szCs w:val="18"/>
              </w:rPr>
              <w:t xml:space="preserve">1.  Students Learn Better</w:t>
            </w:r>
          </w:p>
        </w:tc>
        <w:tc>
          <w:tcPr>
            <w:tcW w:type="dxa" w:w="18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Students + Parents</w:t>
            </w:r>
          </w:p>
        </w:tc>
        <w:tc>
          <w:tcPr>
            <w:tcW w:type="dxa" w:w="36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AI Doubts, Study Plan, Battle Arena, Lectures, Gate Lock</w:t>
            </w:r>
          </w:p>
        </w:tc>
        <w:tc>
          <w:tcPr>
            <w:tcW w:type="dxa" w:w="18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Rank improvement %</w:t>
            </w:r>
          </w:p>
        </w:tc>
      </w:tr>
      <w:tr>
        <w:tc>
          <w:tcPr>
            <w:tcW w:type="dxa" w:w="21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1565C0"/>
                <w:sz w:val="18"/>
                <w:szCs w:val="18"/>
              </w:rPr>
              <w:t xml:space="preserve">2.  Teachers Work Smarter</w:t>
            </w:r>
          </w:p>
        </w:tc>
        <w:tc>
          <w:tcPr>
            <w:tcW w:type="dxa" w:w="18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Teachers + HODs</w:t>
            </w:r>
          </w:p>
        </w:tc>
        <w:tc>
          <w:tcPr>
            <w:tcW w:type="dxa" w:w="36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Analytics, Heatmap, Doubt Queue, Auto-grading, Batch Mgmt</w:t>
            </w:r>
          </w:p>
        </w:tc>
        <w:tc>
          <w:tcPr>
            <w:tcW w:type="dxa" w:w="18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Hours saved per week</w:t>
            </w:r>
          </w:p>
        </w:tc>
      </w:tr>
      <w:tr>
        <w:tc>
          <w:tcPr>
            <w:tcW w:type="dxa" w:w="21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3.  Institutions Get Results</w:t>
            </w:r>
          </w:p>
        </w:tc>
        <w:tc>
          <w:tcPr>
            <w:tcW w:type="dxa" w:w="18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Principal + Management</w:t>
            </w:r>
          </w:p>
        </w:tc>
        <w:tc>
          <w:tcPr>
            <w:tcW w:type="dxa" w:w="36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Placement module, Career tracking, Performance reports, Association dashboard</w:t>
            </w:r>
          </w:p>
        </w:tc>
        <w:tc>
          <w:tcPr>
            <w:tcW w:type="dxa" w:w="18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Placement rate improvement</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60" w:after="60"/>
      </w:pPr>
      <w:r>
        <w:rPr>
          <w:rFonts w:ascii="Calibri" w:cs="Calibri" w:eastAsia="Calibri" w:hAnsi="Calibri"/>
          <w:b w:val="false"/>
          <w:bCs w:val="false"/>
          <w:i w:val="false"/>
          <w:iCs w:val="false"/>
          <w:color w:val="1A1A2E"/>
          <w:sz w:val="20"/>
          <w:szCs w:val="20"/>
        </w:rPr>
        <w:t xml:space="preserve">Every single feature still exists in the product. Nothing is removed. You are simply presenting it through the lens of outcomes rather than technology. The audience does not care what the feature is called. They care what it does for their institution.</w:t>
      </w:r>
    </w:p>
    <w:p>
      <w:pPr>
        <w:spacing w:before="0" w:after="8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EEF2FF" w:val="clear"/>
            <w:tcMar>
              <w:top w:type="dxa" w:w="100"/>
              <w:left w:type="dxa" w:w="200"/>
              <w:bottom w:type="dxa" w:w="60"/>
              <w:right w:type="dxa" w:w="200"/>
            </w:tcMar>
          </w:tcPr>
          <w:p>
            <w:pPr>
              <w:spacing w:before="60" w:after="60"/>
            </w:pPr>
            <w:r>
              <w:rPr>
                <w:rFonts w:ascii="Calibri" w:cs="Calibri" w:eastAsia="Calibri" w:hAnsi="Calibri"/>
                <w:b/>
                <w:bCs/>
                <w:i w:val="false"/>
                <w:iCs w:val="false"/>
                <w:color w:val="1A237E"/>
                <w:sz w:val="19"/>
                <w:szCs w:val="19"/>
              </w:rPr>
              <w:t xml:space="preserve">📌  New Pitch Opening Line</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Old: "APEXIQ is an AI-native EdTech platform with 12 AI services, battle arena, ELO system..."</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New: "APEXIQ helps coaching institutes produce better ranks, reduce teacher workload by</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5 hours per week, and track student career readiness — all in one platform."</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05  Career &amp; Placement — "This Is Our Biggest Advantage — It's Underplayed"</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For colleges especially, placements are everything. Career outcomes are the actual selling point — not the AI chatbot. This is our biggest competitive advantage over BYJU'S, PW, and Allen. But it is buried in the pitch.</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What We Already Have Built</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AI Resume Analyzer — reviews student resume and suggests improvements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Interview Preparation Module — mock interviews with AI feedback</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Personalised Learning Plan tied to career goals and target company profiles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Skill gap tracking — shows what the student needs to get to their target role</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Industry mapping with internship tie-up tracking</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What to Add to the Pitch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00"/>
              <w:left w:type="dxa" w:w="200"/>
              <w:bottom w:type="dxa" w:w="60"/>
              <w:right w:type="dxa" w:w="200"/>
            </w:tcMar>
          </w:tcPr>
          <w:p>
            <w:pPr>
              <w:spacing w:before="60" w:after="60"/>
            </w:pPr>
            <w:r>
              <w:rPr>
                <w:rFonts w:ascii="Calibri" w:cs="Calibri" w:eastAsia="Calibri" w:hAnsi="Calibri"/>
                <w:b/>
                <w:bCs/>
                <w:i w:val="false"/>
                <w:iCs w:val="false"/>
                <w:color w:val="2E7D32"/>
                <w:sz w:val="19"/>
                <w:szCs w:val="19"/>
              </w:rPr>
              <w:t xml:space="preserve">🎯  Recommended Slide: "From First Year to First Job"</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A visual timeline showing:</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Year 1: Diagnostic test → personalised learning plan → skill gap identified</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Year 2: Targeted practice → career module activated → resume built</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Year 3: Mock interviews → placement tracking → offer received</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Then show: institutions using APEXIQ saw {X}% improvement in placement rate</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(Use pilot data once available)</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06  Adoption Strategy — "How Will This Actually Run?"</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Institutions have seen EdTech platforms fail because nobody trained the teachers, nobody activated the students, and nobody checked whether the system was actually being used. Without a clear adoption timeline, institutions assume failure.</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The Implementation Timeline — Add This Slide to Every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2520"/>
        <w:gridCol w:w="2400"/>
      </w:tblGrid>
      <w:tr>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Week / Month</w:t>
            </w:r>
          </w:p>
        </w:tc>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What Happens</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Who Is Responsible</w:t>
            </w:r>
          </w:p>
        </w:tc>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Success Metric</w:t>
            </w:r>
          </w:p>
        </w:tc>
      </w:tr>
      <w:tr>
        <w:tc>
          <w:tcPr>
            <w:tcW w:type="dxa" w:w="14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Week 1</w:t>
            </w:r>
          </w:p>
        </w:tc>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Institute admin setup, platform configured, teacher accounts created</w:t>
            </w:r>
          </w:p>
        </w:tc>
        <w:tc>
          <w:tcPr>
            <w:tcW w:type="dxa" w:w="252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APEXIQ Onboarding Team</w:t>
            </w:r>
          </w:p>
        </w:tc>
        <w:tc>
          <w:tcPr>
            <w:tcW w:type="dxa" w:w="24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Admin dashboard live</w:t>
            </w:r>
          </w:p>
        </w:tc>
      </w:tr>
      <w:tr>
        <w:tc>
          <w:tcPr>
            <w:tcW w:type="dxa" w:w="14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Week 2</w:t>
            </w:r>
          </w:p>
        </w:tc>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 training session (2 hours), batch setup, student CSV import</w:t>
            </w:r>
          </w:p>
        </w:tc>
        <w:tc>
          <w:tcPr>
            <w:tcW w:type="dxa" w:w="252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APEXIQ + Institute HOD</w:t>
            </w:r>
          </w:p>
        </w:tc>
        <w:tc>
          <w:tcPr>
            <w:tcW w:type="dxa" w:w="24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All teachers trained</w:t>
            </w:r>
          </w:p>
        </w:tc>
      </w:tr>
      <w:tr>
        <w:tc>
          <w:tcPr>
            <w:tcW w:type="dxa" w:w="14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Month 1</w:t>
            </w:r>
          </w:p>
        </w:tc>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Students activated, diagnostic tests run, AI study plans generated</w:t>
            </w:r>
          </w:p>
        </w:tc>
        <w:tc>
          <w:tcPr>
            <w:tcW w:type="dxa" w:w="252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Teachers + Students</w:t>
            </w:r>
          </w:p>
        </w:tc>
        <w:tc>
          <w:tcPr>
            <w:tcW w:type="dxa" w:w="24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80%+ students activated</w:t>
            </w:r>
          </w:p>
        </w:tc>
      </w:tr>
      <w:tr>
        <w:tc>
          <w:tcPr>
            <w:tcW w:type="dxa" w:w="14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Month 2</w:t>
            </w:r>
          </w:p>
        </w:tc>
        <w:tc>
          <w:tcPr>
            <w:tcW w:type="dxa" w:w="30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Analytics in daily use, doubt resolution running, first performance report sent</w:t>
            </w:r>
          </w:p>
        </w:tc>
        <w:tc>
          <w:tcPr>
            <w:tcW w:type="dxa" w:w="252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Teachers + Admin</w:t>
            </w:r>
          </w:p>
        </w:tc>
        <w:tc>
          <w:tcPr>
            <w:tcW w:type="dxa" w:w="24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Weekly reports flowing</w:t>
            </w:r>
          </w:p>
        </w:tc>
      </w:tr>
      <w:tr>
        <w:tc>
          <w:tcPr>
            <w:tcW w:type="dxa" w:w="14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Month 3</w:t>
            </w:r>
          </w:p>
        </w:tc>
        <w:tc>
          <w:tcPr>
            <w:tcW w:type="dxa" w:w="30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ROI review meeting, results presented, renewal conversation initiated</w:t>
            </w:r>
          </w:p>
        </w:tc>
        <w:tc>
          <w:tcPr>
            <w:tcW w:type="dxa" w:w="252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APEXIQ Account Manager</w:t>
            </w:r>
          </w:p>
        </w:tc>
        <w:tc>
          <w:tcPr>
            <w:tcW w:type="dxa" w:w="24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Data-driven renewal</w:t>
            </w:r>
          </w:p>
        </w:tc>
      </w:tr>
    </w:tbl>
    <w:p>
      <w:pPr>
        <w:spacing w:before="0" w:after="8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EEF2FF" w:val="clear"/>
            <w:tcMar>
              <w:top w:type="dxa" w:w="100"/>
              <w:left w:type="dxa" w:w="200"/>
              <w:bottom w:type="dxa" w:w="60"/>
              <w:right w:type="dxa" w:w="200"/>
            </w:tcMar>
          </w:tcPr>
          <w:p>
            <w:pPr>
              <w:spacing w:before="60" w:after="60"/>
            </w:pPr>
            <w:r>
              <w:rPr>
                <w:rFonts w:ascii="Calibri" w:cs="Calibri" w:eastAsia="Calibri" w:hAnsi="Calibri"/>
                <w:b/>
                <w:bCs/>
                <w:i w:val="false"/>
                <w:iCs w:val="false"/>
                <w:color w:val="1A237E"/>
                <w:sz w:val="19"/>
                <w:szCs w:val="19"/>
              </w:rPr>
              <w:t xml:space="preserve">📌  Key Message for Institutions</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do not just hand you software and disappear. We walk alongside you for the</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first 90 days. Your success is our proof. We only renew if you see results."</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07  Pricing Model — "No Institution Moves Forward Without This"</w:t>
      </w:r>
    </w:p>
    <w:p>
      <w:pPr>
        <w:spacing w:before="200" w:after="80"/>
      </w:pPr>
      <w:r>
        <w:rPr>
          <w:rFonts w:ascii="Calibri" w:cs="Calibri" w:eastAsia="Calibri" w:hAnsi="Calibri"/>
          <w:b/>
          <w:bCs/>
          <w:i w:val="false"/>
          <w:iCs w:val="false"/>
          <w:color w:val="1A1A2E"/>
          <w:sz w:val="22"/>
          <w:szCs w:val="22"/>
        </w:rPr>
        <w:t xml:space="preserve">What the Client Said — CRITICAL</w:t>
      </w:r>
    </w:p>
    <w:p>
      <w:pPr>
        <w:spacing w:before="60" w:after="60"/>
      </w:pPr>
      <w:r>
        <w:rPr>
          <w:rFonts w:ascii="Calibri" w:cs="Calibri" w:eastAsia="Calibri" w:hAnsi="Calibri"/>
          <w:b w:val="false"/>
          <w:bCs w:val="false"/>
          <w:i w:val="false"/>
          <w:iCs w:val="false"/>
          <w:color w:val="1A1A2E"/>
          <w:sz w:val="20"/>
          <w:szCs w:val="20"/>
        </w:rPr>
        <w:t xml:space="preserve">No institution will commit to a platform without seeing cost per student, the license model, and government vs private pricing. Even a rough model is necessary. Without it, there is nothing to evaluate.</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Proposed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040"/>
        <w:gridCol w:w="2520"/>
        <w:gridCol w:w="2640"/>
      </w:tblGrid>
      <w:tr>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Segment</w:t>
            </w:r>
          </w:p>
        </w:tc>
        <w:tc>
          <w:tcPr>
            <w:tcW w:type="dxa" w:w="2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Model</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Price Point</w:t>
            </w:r>
          </w:p>
        </w:tc>
        <w:tc>
          <w:tcPr>
            <w:tcW w:type="dxa" w:w="26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What Is Included</w:t>
            </w:r>
          </w:p>
        </w:tc>
      </w:tr>
      <w:tr>
        <w:tc>
          <w:tcPr>
            <w:tcW w:type="dxa" w:w="21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Private Coaching Institutes</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Per student / month</w:t>
            </w:r>
          </w:p>
        </w:tc>
        <w:tc>
          <w:tcPr>
            <w:tcW w:type="dxa" w:w="252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₹150 – ₹250 / student / month</w:t>
            </w:r>
          </w:p>
        </w:tc>
        <w:tc>
          <w:tcPr>
            <w:tcW w:type="dxa" w:w="26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All modules, unlimited usage</w:t>
            </w:r>
          </w:p>
        </w:tc>
      </w:tr>
      <w:tr>
        <w:tc>
          <w:tcPr>
            <w:tcW w:type="dxa" w:w="21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Private Degree Colleges</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Annual license / batch</w:t>
            </w:r>
          </w:p>
        </w:tc>
        <w:tc>
          <w:tcPr>
            <w:tcW w:type="dxa" w:w="252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₹80,000 – ₹2,00,000 / year</w:t>
            </w:r>
          </w:p>
        </w:tc>
        <w:tc>
          <w:tcPr>
            <w:tcW w:type="dxa" w:w="26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Career module included</w:t>
            </w:r>
          </w:p>
        </w:tc>
      </w:tr>
      <w:tr>
        <w:tc>
          <w:tcPr>
            <w:tcW w:type="dxa" w:w="21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Government Institutions</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Pilot free → Tender model</w:t>
            </w:r>
          </w:p>
        </w:tc>
        <w:tc>
          <w:tcPr>
            <w:tcW w:type="dxa" w:w="252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Pilot: Free 90 days
Then: Government tender pricing</w:t>
            </w:r>
          </w:p>
        </w:tc>
        <w:tc>
          <w:tcPr>
            <w:tcW w:type="dxa" w:w="26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NEP-aligned reporting</w:t>
            </w:r>
          </w:p>
        </w:tc>
      </w:tr>
      <w:tr>
        <w:tc>
          <w:tcPr>
            <w:tcW w:type="dxa" w:w="21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Large Coaching Chains</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Enterprise custom</w:t>
            </w:r>
          </w:p>
        </w:tc>
        <w:tc>
          <w:tcPr>
            <w:tcW w:type="dxa" w:w="252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Annual negotiated contract</w:t>
            </w:r>
          </w:p>
        </w:tc>
        <w:tc>
          <w:tcPr>
            <w:tcW w:type="dxa" w:w="26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White-label + API access</w:t>
            </w:r>
          </w:p>
        </w:tc>
      </w:tr>
    </w:tbl>
    <w:p>
      <w:pPr>
        <w:spacing w:before="0" w:after="8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EEF2FF" w:val="clear"/>
            <w:tcMar>
              <w:top w:type="dxa" w:w="100"/>
              <w:left w:type="dxa" w:w="200"/>
              <w:bottom w:type="dxa" w:w="60"/>
              <w:right w:type="dxa" w:w="200"/>
            </w:tcMar>
          </w:tcPr>
          <w:p>
            <w:pPr>
              <w:spacing w:before="60" w:after="60"/>
            </w:pPr>
            <w:r>
              <w:rPr>
                <w:rFonts w:ascii="Calibri" w:cs="Calibri" w:eastAsia="Calibri" w:hAnsi="Calibri"/>
                <w:b/>
                <w:bCs/>
                <w:i w:val="false"/>
                <w:iCs w:val="false"/>
                <w:color w:val="1A237E"/>
                <w:sz w:val="19"/>
                <w:szCs w:val="19"/>
              </w:rPr>
              <w:t xml:space="preserve">📌  What to Say About Pricing in the Pitch</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"Our pricing is designed so that a coaching institute with 100 students pays less</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per month than the cost of one teacher's private tuition session. The ROI is visible</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in the first performance report."</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08  Teacher Psychology — "We Are Missing This Completely"</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Our system currently evaluates, tracks, and flags teacher mistakes. Teachers may resist silently. The solution is not to remove these features — it is to flip the framing from surveillance to celebration.</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The Fix — Celebrate, Don't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0" w:after="80"/>
            </w:pPr>
            <w:r>
              <w:rPr>
                <w:rFonts w:ascii="Calibri" w:cs="Calibri" w:eastAsia="Calibri" w:hAnsi="Calibri"/>
                <w:b/>
                <w:bCs/>
                <w:i w:val="false"/>
                <w:iCs w:val="false"/>
                <w:color w:val="E53935"/>
                <w:sz w:val="19"/>
                <w:szCs w:val="19"/>
              </w:rPr>
              <w:t xml:space="preserve">❌  Current Framing (Remove)</w:t>
            </w:r>
          </w:p>
          <w:p>
            <w:pPr>
              <w:pStyle w:val="ListParagraph"/>
              <w:numPr>
                <w:ilvl w:val="0"/>
                <w:numId w:val="2"/>
              </w:numPr>
              <w:spacing w:before="40" w:after="40"/>
            </w:pPr>
            <w:r>
              <w:rPr>
                <w:rFonts w:ascii="Calibri" w:cs="Calibri" w:eastAsia="Calibri" w:hAnsi="Calibri"/>
                <w:b w:val="false"/>
                <w:bCs w:val="false"/>
                <w:i w:val="false"/>
                <w:iCs w:val="false"/>
                <w:color w:val="E53935"/>
                <w:sz w:val="20"/>
                <w:szCs w:val="20"/>
              </w:rPr>
              <w:t xml:space="preserve">"System evaluates teacher performance"</w:t>
            </w:r>
          </w:p>
          <w:p>
            <w:pPr>
              <w:pStyle w:val="ListParagraph"/>
              <w:numPr>
                <w:ilvl w:val="0"/>
                <w:numId w:val="2"/>
              </w:numPr>
              <w:spacing w:before="40" w:after="40"/>
            </w:pPr>
            <w:r>
              <w:rPr>
                <w:rFonts w:ascii="Calibri" w:cs="Calibri" w:eastAsia="Calibri" w:hAnsi="Calibri"/>
                <w:b w:val="false"/>
                <w:bCs w:val="false"/>
                <w:i w:val="false"/>
                <w:iCs w:val="false"/>
                <w:color w:val="E53935"/>
                <w:sz w:val="20"/>
                <w:szCs w:val="20"/>
              </w:rPr>
              <w:t xml:space="preserve">"Flags teacher mistakes"</w:t>
            </w:r>
          </w:p>
          <w:p>
            <w:pPr>
              <w:pStyle w:val="ListParagraph"/>
              <w:numPr>
                <w:ilvl w:val="0"/>
                <w:numId w:val="2"/>
              </w:numPr>
              <w:spacing w:before="40" w:after="40"/>
            </w:pPr>
            <w:r>
              <w:rPr>
                <w:rFonts w:ascii="Calibri" w:cs="Calibri" w:eastAsia="Calibri" w:hAnsi="Calibri"/>
                <w:b w:val="false"/>
                <w:bCs w:val="false"/>
                <w:i w:val="false"/>
                <w:iCs w:val="false"/>
                <w:color w:val="E53935"/>
                <w:sz w:val="20"/>
                <w:szCs w:val="20"/>
              </w:rPr>
              <w:t xml:space="preserve">"Tracks teacher activity"</w:t>
            </w:r>
          </w:p>
          <w:p>
            <w:pPr>
              <w:pStyle w:val="ListParagraph"/>
              <w:numPr>
                <w:ilvl w:val="0"/>
                <w:numId w:val="2"/>
              </w:numPr>
              <w:spacing w:before="40" w:after="40"/>
            </w:pPr>
            <w:r>
              <w:rPr>
                <w:rFonts w:ascii="Calibri" w:cs="Calibri" w:eastAsia="Calibri" w:hAnsi="Calibri"/>
                <w:b w:val="false"/>
                <w:bCs w:val="false"/>
                <w:i w:val="false"/>
                <w:iCs w:val="false"/>
                <w:color w:val="E53935"/>
                <w:sz w:val="20"/>
                <w:szCs w:val="20"/>
              </w:rPr>
              <w:t xml:space="preserve">"Error rate per teacher"</w:t>
            </w:r>
          </w:p>
          <w:p>
            <w:pPr>
              <w:pStyle w:val="ListParagraph"/>
              <w:numPr>
                <w:ilvl w:val="0"/>
                <w:numId w:val="2"/>
              </w:numPr>
              <w:spacing w:before="40" w:after="40"/>
            </w:pPr>
            <w:r>
              <w:rPr>
                <w:rFonts w:ascii="Calibri" w:cs="Calibri" w:eastAsia="Calibri" w:hAnsi="Calibri"/>
                <w:b w:val="false"/>
                <w:bCs w:val="false"/>
                <w:i w:val="false"/>
                <w:iCs w:val="false"/>
                <w:color w:val="E53935"/>
                <w:sz w:val="20"/>
                <w:szCs w:val="20"/>
              </w:rPr>
              <w:t xml:space="preserve">"Engagement score monitored"</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0" w:after="80"/>
            </w:pPr>
            <w:r>
              <w:rPr>
                <w:rFonts w:ascii="Calibri" w:cs="Calibri" w:eastAsia="Calibri" w:hAnsi="Calibri"/>
                <w:b/>
                <w:bCs/>
                <w:i w:val="false"/>
                <w:iCs w:val="false"/>
                <w:color w:val="2E7D32"/>
                <w:sz w:val="19"/>
                <w:szCs w:val="19"/>
              </w:rPr>
              <w:t xml:space="preserve">✅  New Framing (Use This)</w:t>
            </w:r>
          </w:p>
          <w:p>
            <w:pPr>
              <w:pStyle w:val="ListParagraph"/>
              <w:numPr>
                <w:ilvl w:val="0"/>
                <w:numId w:val="2"/>
              </w:numPr>
              <w:spacing w:before="40" w:after="40"/>
            </w:pPr>
            <w:r>
              <w:rPr>
                <w:rFonts w:ascii="Calibri" w:cs="Calibri" w:eastAsia="Calibri" w:hAnsi="Calibri"/>
                <w:b w:val="false"/>
                <w:bCs w:val="false"/>
                <w:i w:val="false"/>
                <w:iCs w:val="false"/>
                <w:color w:val="2E7D32"/>
                <w:sz w:val="20"/>
                <w:szCs w:val="20"/>
              </w:rPr>
              <w:t xml:space="preserve">"Top Faculty Recognition Dashboard"</w:t>
            </w:r>
          </w:p>
          <w:p>
            <w:pPr>
              <w:pStyle w:val="ListParagraph"/>
              <w:numPr>
                <w:ilvl w:val="0"/>
                <w:numId w:val="2"/>
              </w:numPr>
              <w:spacing w:before="40" w:after="40"/>
            </w:pPr>
            <w:r>
              <w:rPr>
                <w:rFonts w:ascii="Calibri" w:cs="Calibri" w:eastAsia="Calibri" w:hAnsi="Calibri"/>
                <w:b w:val="false"/>
                <w:bCs w:val="false"/>
                <w:i w:val="false"/>
                <w:iCs w:val="false"/>
                <w:color w:val="2E7D32"/>
                <w:sz w:val="20"/>
                <w:szCs w:val="20"/>
              </w:rPr>
              <w:t xml:space="preserve">"Performance insights — your impact"</w:t>
            </w:r>
          </w:p>
          <w:p>
            <w:pPr>
              <w:pStyle w:val="ListParagraph"/>
              <w:numPr>
                <w:ilvl w:val="0"/>
                <w:numId w:val="2"/>
              </w:numPr>
              <w:spacing w:before="40" w:after="40"/>
            </w:pPr>
            <w:r>
              <w:rPr>
                <w:rFonts w:ascii="Calibri" w:cs="Calibri" w:eastAsia="Calibri" w:hAnsi="Calibri"/>
                <w:b w:val="false"/>
                <w:bCs w:val="false"/>
                <w:i w:val="false"/>
                <w:iCs w:val="false"/>
                <w:color w:val="2E7D32"/>
                <w:sz w:val="20"/>
                <w:szCs w:val="20"/>
              </w:rPr>
              <w:t xml:space="preserve">"Hours saved this week: 5.2 hrs"</w:t>
            </w:r>
          </w:p>
          <w:p>
            <w:pPr>
              <w:pStyle w:val="ListParagraph"/>
              <w:numPr>
                <w:ilvl w:val="0"/>
                <w:numId w:val="2"/>
              </w:numPr>
              <w:spacing w:before="40" w:after="40"/>
            </w:pPr>
            <w:r>
              <w:rPr>
                <w:rFonts w:ascii="Calibri" w:cs="Calibri" w:eastAsia="Calibri" w:hAnsi="Calibri"/>
                <w:b w:val="false"/>
                <w:bCs w:val="false"/>
                <w:i w:val="false"/>
                <w:iCs w:val="false"/>
                <w:color w:val="2E7D32"/>
                <w:sz w:val="20"/>
                <w:szCs w:val="20"/>
              </w:rPr>
              <w:t xml:space="preserve">"Your students improved 14% this month"</w:t>
            </w:r>
          </w:p>
          <w:p>
            <w:pPr>
              <w:pStyle w:val="ListParagraph"/>
              <w:numPr>
                <w:ilvl w:val="0"/>
                <w:numId w:val="2"/>
              </w:numPr>
              <w:spacing w:before="40" w:after="40"/>
            </w:pPr>
            <w:r>
              <w:rPr>
                <w:rFonts w:ascii="Calibri" w:cs="Calibri" w:eastAsia="Calibri" w:hAnsi="Calibri"/>
                <w:b w:val="false"/>
                <w:bCs w:val="false"/>
                <w:i w:val="false"/>
                <w:iCs w:val="false"/>
                <w:color w:val="2E7D32"/>
                <w:sz w:val="20"/>
                <w:szCs w:val="20"/>
              </w:rPr>
              <w:t xml:space="preserve">"Most answered doubts: {TeacherName}"</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Add Teacher Incentive Layer</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Monthly "Top Faculty" leaderboard visible to all teachers in the institute</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"Star Teacher" badge when doubt response rate &gt; 90% in a month</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Certificates generated automatically for high-performing faculty</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Teacher analytics shows their positive impact — not their errors</w:t>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09  Association Dashboard — "This Will Make Our Pitch Much Stronger"</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Since APEXIQ is being pitched to associations (groups of colleges/institutes), we are missing a critical feature. Associations care about three things: standardisation across member institutions, visibility into aggregate performance, and impact reporting for government and policy submissions.</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What to Build /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EEF2FF" w:val="clear"/>
            <w:tcMar>
              <w:top w:type="dxa" w:w="100"/>
              <w:left w:type="dxa" w:w="200"/>
              <w:bottom w:type="dxa" w:w="60"/>
              <w:right w:type="dxa" w:w="200"/>
            </w:tcMar>
          </w:tcPr>
          <w:p>
            <w:pPr>
              <w:spacing w:before="60" w:after="60"/>
            </w:pPr>
            <w:r>
              <w:rPr>
                <w:rFonts w:ascii="Calibri" w:cs="Calibri" w:eastAsia="Calibri" w:hAnsi="Calibri"/>
                <w:b/>
                <w:bCs/>
                <w:i w:val="false"/>
                <w:iCs w:val="false"/>
                <w:color w:val="1A237E"/>
                <w:sz w:val="19"/>
                <w:szCs w:val="19"/>
              </w:rPr>
              <w:t xml:space="preserve">📊  Association Dashboard — Feature Concept</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A multi-institute aggregate view accessible to the Association Head showing:</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Compare member colleges side by side — placement %, test scores, attendance</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Which subjects are weakest across all institutions (policy insight)</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Top performing college this month in the network</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Standardised reports for government submissions (NEP-aligned)</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  Alert: "Organic Chemistry failing across 8 colleges — curriculum review recommended"</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This is not a major build. It is a filtered view of data we already collect.</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We need one concept slide showing this dashboard to the association.</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Why This Matters for the Pitch</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Associations commit for ALL member colleges at once — one deal = 20 institutions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No competitor has built this view specifically for Indian educational associations</w:t>
      </w:r>
    </w:p>
    <w:p>
      <w:pPr>
        <w:pStyle w:val="ListParagraph"/>
        <w:numPr>
          <w:ilvl w:val="0"/>
          <w:numId w:val="2"/>
        </w:numPr>
        <w:spacing w:before="40" w:after="40"/>
      </w:pPr>
      <w:r>
        <w:rPr>
          <w:rFonts w:ascii="Calibri" w:cs="Calibri" w:eastAsia="Calibri" w:hAnsi="Calibri"/>
          <w:b w:val="false"/>
          <w:bCs w:val="false"/>
          <w:i w:val="false"/>
          <w:iCs w:val="false"/>
          <w:color w:val="1A1A2E"/>
          <w:sz w:val="20"/>
          <w:szCs w:val="20"/>
        </w:rPr>
        <w:t xml:space="preserve">"Policy-level insights" is language that resonates with government-adjacent bodies</w:t>
      </w:r>
    </w:p>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10  Reduce Over-Claiming — "Credibility Drops Unless Claims Are Proven"</w:t>
      </w:r>
    </w:p>
    <w:p>
      <w:pPr>
        <w:spacing w:before="200" w:after="80"/>
      </w:pPr>
      <w:r>
        <w:rPr>
          <w:rFonts w:ascii="Calibri" w:cs="Calibri" w:eastAsia="Calibri" w:hAnsi="Calibri"/>
          <w:b/>
          <w:bCs/>
          <w:i w:val="false"/>
          <w:iCs w:val="false"/>
          <w:color w:val="1A1A2E"/>
          <w:sz w:val="22"/>
          <w:szCs w:val="22"/>
        </w:rPr>
        <w:t xml:space="preserve">What the Client Said</w:t>
      </w:r>
    </w:p>
    <w:p>
      <w:pPr>
        <w:spacing w:before="60" w:after="60"/>
      </w:pPr>
      <w:r>
        <w:rPr>
          <w:rFonts w:ascii="Calibri" w:cs="Calibri" w:eastAsia="Calibri" w:hAnsi="Calibri"/>
          <w:b w:val="false"/>
          <w:bCs w:val="false"/>
          <w:i w:val="false"/>
          <w:iCs w:val="false"/>
          <w:color w:val="1A1A2E"/>
          <w:sz w:val="20"/>
          <w:szCs w:val="20"/>
        </w:rPr>
        <w:t xml:space="preserve">Claims like "India's first" and "end-to-end platform" reduce credibility with institutional decision makers unless proven. They read as marketing noise, not product confidence.</w:t>
      </w:r>
    </w:p>
    <w:p>
      <w:pPr>
        <w:spacing w:before="0" w:after="80"/>
      </w:pPr>
      <w:r>
        <w:rPr>
          <w:rFonts w:ascii="Calibri" w:cs="Calibri" w:eastAsia="Calibri" w:hAnsi="Calibri"/>
          <w:b w:val="false"/>
          <w:bCs w:val="false"/>
          <w:i w:val="false"/>
          <w:iCs w:val="false"/>
          <w:color w:val="1A1A2E"/>
          <w:sz w:val="20"/>
          <w:szCs w:val="20"/>
        </w:rPr>
        <w:t xml:space="preserve"/>
      </w:r>
    </w:p>
    <w:p>
      <w:pPr>
        <w:spacing w:before="200" w:after="80"/>
      </w:pPr>
      <w:r>
        <w:rPr>
          <w:rFonts w:ascii="Calibri" w:cs="Calibri" w:eastAsia="Calibri" w:hAnsi="Calibri"/>
          <w:b/>
          <w:bCs/>
          <w:i w:val="false"/>
          <w:iCs w:val="false"/>
          <w:color w:val="1A1A2E"/>
          <w:sz w:val="22"/>
          <w:szCs w:val="22"/>
        </w:rPr>
        <w:t xml:space="preserve">Language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Stop Saying</w:t>
            </w:r>
          </w:p>
        </w:tc>
        <w:tc>
          <w:tcPr>
            <w:tcW w:type="dxa" w:w="3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Start Saying</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Why It Works Better</w:t>
            </w:r>
          </w:p>
        </w:tc>
      </w:tr>
      <w:tr>
        <w:tc>
          <w:tcPr>
            <w:tcW w:type="dxa" w:w="28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"India's first AI EdTech platform"</w:t>
            </w:r>
          </w:p>
        </w:tc>
        <w:tc>
          <w:tcPr>
            <w:tcW w:type="dxa" w:w="3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"An integrated AI-enabled learning system"</w:t>
            </w:r>
          </w:p>
        </w:tc>
        <w:tc>
          <w:tcPr>
            <w:tcW w:type="dxa" w:w="33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Grounded, verifiable, professional</w:t>
            </w:r>
          </w:p>
        </w:tc>
      </w:tr>
      <w:tr>
        <w:tc>
          <w:tcPr>
            <w:tcW w:type="dxa" w:w="28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"End-to-end platform"</w:t>
            </w:r>
          </w:p>
        </w:tc>
        <w:tc>
          <w:tcPr>
            <w:tcW w:type="dxa" w:w="32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"Designed for the full student journey"</w:t>
            </w:r>
          </w:p>
        </w:tc>
        <w:tc>
          <w:tcPr>
            <w:tcW w:type="dxa" w:w="33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Specific, meaningful, outcome-focused</w:t>
            </w:r>
          </w:p>
        </w:tc>
      </w:tr>
      <w:tr>
        <w:tc>
          <w:tcPr>
            <w:tcW w:type="dxa" w:w="28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"12 AI services"</w:t>
            </w:r>
          </w:p>
        </w:tc>
        <w:tc>
          <w:tcPr>
            <w:tcW w:type="dxa" w:w="3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"AI working behind the scenes on 12 fronts"</w:t>
            </w:r>
          </w:p>
        </w:tc>
        <w:tc>
          <w:tcPr>
            <w:tcW w:type="dxa" w:w="33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Less spec-sheet, more human benefit</w:t>
            </w:r>
          </w:p>
        </w:tc>
      </w:tr>
      <w:tr>
        <w:tc>
          <w:tcPr>
            <w:tcW w:type="dxa" w:w="28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"Revolutionary"</w:t>
            </w:r>
          </w:p>
        </w:tc>
        <w:tc>
          <w:tcPr>
            <w:tcW w:type="dxa" w:w="32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"Proven in JEE/NEET preparation context"</w:t>
            </w:r>
          </w:p>
        </w:tc>
        <w:tc>
          <w:tcPr>
            <w:tcW w:type="dxa" w:w="33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Shows domain expertise, not hype</w:t>
            </w:r>
          </w:p>
        </w:tc>
      </w:tr>
      <w:tr>
        <w:tc>
          <w:tcPr>
            <w:tcW w:type="dxa" w:w="28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"World-class"</w:t>
            </w:r>
          </w:p>
        </w:tc>
        <w:tc>
          <w:tcPr>
            <w:tcW w:type="dxa" w:w="3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"Built for the Indian bilingual classroom"</w:t>
            </w:r>
          </w:p>
        </w:tc>
        <w:tc>
          <w:tcPr>
            <w:tcW w:type="dxa" w:w="33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Localised, relevant, differentiating</w:t>
            </w:r>
          </w:p>
        </w:tc>
      </w:tr>
    </w:tbl>
    <w:p>
      <w:pPr>
        <w:spacing w:before="0" w:after="8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00"/>
              <w:left w:type="dxa" w:w="200"/>
              <w:bottom w:type="dxa" w:w="60"/>
              <w:right w:type="dxa" w:w="200"/>
            </w:tcMar>
          </w:tcPr>
          <w:p>
            <w:pPr>
              <w:spacing w:before="60" w:after="60"/>
            </w:pPr>
            <w:r>
              <w:rPr>
                <w:rFonts w:ascii="Calibri" w:cs="Calibri" w:eastAsia="Calibri" w:hAnsi="Calibri"/>
                <w:b/>
                <w:bCs/>
                <w:i w:val="false"/>
                <w:iCs w:val="false"/>
                <w:color w:val="2E7D32"/>
                <w:sz w:val="19"/>
                <w:szCs w:val="19"/>
              </w:rPr>
              <w:t xml:space="preserve">✅  What We Have Done Very Well (The Client Confirmed This)</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Bilingual focus — huge structural advantage in India that competitors lack</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Full ecosystem thinking — school + college + career in one platform (rare)</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Career module — biggest differentiator vs pure EdTech players</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AI assessment depth — better than most platforms on the market</w:t>
            </w:r>
          </w:p>
        </w:tc>
      </w:tr>
      <w:tr>
        <w:tc>
          <w:tcPr>
            <w:tcBorders>
              <w:top w:val="single" w:color="2E7D32" w:sz="1"/>
              <w:left w:val="single" w:color="2E7D32" w:sz="1"/>
              <w:bottom w:val="single" w:color="2E7D32" w:sz="1"/>
              <w:right w:val="single" w:color="2E7D32" w:sz="1"/>
            </w:tcBorders>
            <w:shd w:fill="E8F5E9"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NEP alignment — critical for government pitching and grants</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r>
        <w:br w:type="page"/>
      </w:r>
    </w:p>
    <w:p>
      <w:pPr>
        <w:pBdr>
          <w:bottom w:val="single" w:color="1A237E" w:sz="6" w:space="1"/>
        </w:pBdr>
        <w:spacing w:before="360" w:after="160"/>
      </w:pPr>
      <w:r>
        <w:rPr>
          <w:rFonts w:ascii="Calibri" w:cs="Calibri" w:eastAsia="Calibri" w:hAnsi="Calibri"/>
          <w:b/>
          <w:bCs/>
          <w:i w:val="false"/>
          <w:iCs w:val="false"/>
          <w:color w:val="1A237E"/>
          <w:sz w:val="32"/>
          <w:szCs w:val="32"/>
        </w:rPr>
        <w:t xml:space="preserve">Action Plan — What to Do Before the Next Pitch</w:t>
      </w:r>
    </w:p>
    <w:p>
      <w:pPr>
        <w:spacing w:before="280" w:after="120"/>
      </w:pPr>
      <w:r>
        <w:rPr>
          <w:rFonts w:ascii="Calibri" w:cs="Calibri" w:eastAsia="Calibri" w:hAnsi="Calibri"/>
          <w:b/>
          <w:bCs/>
          <w:i w:val="false"/>
          <w:iCs w:val="false"/>
          <w:color w:val="1A237E"/>
          <w:sz w:val="26"/>
          <w:szCs w:val="26"/>
        </w:rPr>
        <w:t xml:space="preserve">Immediate Actions (Before Next Presentation)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60"/>
        <w:gridCol w:w="4200"/>
        <w:gridCol w:w="1560"/>
        <w:gridCol w:w="2040"/>
      </w:tblGrid>
      <w:tr>
        <w:tc>
          <w:tcPr>
            <w:tcW w:type="dxa" w:w="9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Priority</w:t>
            </w:r>
          </w:p>
        </w:tc>
        <w:tc>
          <w:tcPr>
            <w:tcW w:type="dxa" w:w="4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Action</w:t>
            </w:r>
          </w:p>
        </w:tc>
        <w:tc>
          <w:tcPr>
            <w:tcW w:type="dxa" w:w="1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Owner</w:t>
            </w:r>
          </w:p>
        </w:tc>
        <w:tc>
          <w:tcPr>
            <w:tcW w:type="dxa" w:w="2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pPr>
              <w:spacing w:before="0" w:after="0"/>
            </w:pPr>
            <w:r>
              <w:rPr>
                <w:rFonts w:ascii="Calibri" w:cs="Calibri" w:eastAsia="Calibri" w:hAnsi="Calibri"/>
                <w:b/>
                <w:bCs/>
                <w:i w:val="false"/>
                <w:iCs w:val="false"/>
                <w:color w:val="FFFFFF"/>
                <w:sz w:val="18"/>
                <w:szCs w:val="18"/>
              </w:rPr>
              <w:t xml:space="preserve">Deadline</w:t>
            </w:r>
          </w:p>
        </w:tc>
      </w:tr>
      <w:tr>
        <w:tc>
          <w:tcPr>
            <w:tcW w:type="dxa" w:w="9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  P0</w:t>
            </w:r>
          </w:p>
        </w:tc>
        <w:tc>
          <w:tcPr>
            <w:tcW w:type="dxa" w:w="4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Run micro-pilot: 1 batch, 30 students, 4 weeks — collect before/after data</w:t>
            </w:r>
          </w:p>
        </w:tc>
        <w:tc>
          <w:tcPr>
            <w:tcW w:type="dxa" w:w="15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Within 30 days</w:t>
            </w:r>
          </w:p>
        </w:tc>
      </w:tr>
      <w:tr>
        <w:tc>
          <w:tcPr>
            <w:tcW w:type="dxa" w:w="9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  P0</w:t>
            </w:r>
          </w:p>
        </w:tc>
        <w:tc>
          <w:tcPr>
            <w:tcW w:type="dxa" w:w="42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Add pricing slide to deck (cost per student model)</w:t>
            </w:r>
          </w:p>
        </w:tc>
        <w:tc>
          <w:tcPr>
            <w:tcW w:type="dxa" w:w="15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Before next pitch</w:t>
            </w:r>
          </w:p>
        </w:tc>
      </w:tr>
      <w:tr>
        <w:tc>
          <w:tcPr>
            <w:tcW w:type="dxa" w:w="9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E53935"/>
                <w:sz w:val="18"/>
                <w:szCs w:val="18"/>
              </w:rPr>
              <w:t xml:space="preserve">🔴  P0</w:t>
            </w:r>
          </w:p>
        </w:tc>
        <w:tc>
          <w:tcPr>
            <w:tcW w:type="dxa" w:w="4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Add adoption timeline slide (Week 1 → Month 3)</w:t>
            </w:r>
          </w:p>
        </w:tc>
        <w:tc>
          <w:tcPr>
            <w:tcW w:type="dxa" w:w="15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Before next pitch</w:t>
            </w:r>
          </w:p>
        </w:tc>
      </w:tr>
      <w:tr>
        <w:tc>
          <w:tcPr>
            <w:tcW w:type="dxa" w:w="9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65100"/>
                <w:sz w:val="18"/>
                <w:szCs w:val="18"/>
              </w:rPr>
              <w:t xml:space="preserve">🟡  P1</w:t>
            </w:r>
          </w:p>
        </w:tc>
        <w:tc>
          <w:tcPr>
            <w:tcW w:type="dxa" w:w="42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Restructure pitch deck into 3 pillars (not 12 features)</w:t>
            </w:r>
          </w:p>
        </w:tc>
        <w:tc>
          <w:tcPr>
            <w:tcW w:type="dxa" w:w="15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This week</w:t>
            </w:r>
          </w:p>
        </w:tc>
      </w:tr>
      <w:tr>
        <w:tc>
          <w:tcPr>
            <w:tcW w:type="dxa" w:w="9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E65100"/>
                <w:sz w:val="18"/>
                <w:szCs w:val="18"/>
              </w:rPr>
              <w:t xml:space="preserve">🟡  P1</w:t>
            </w:r>
          </w:p>
        </w:tc>
        <w:tc>
          <w:tcPr>
            <w:tcW w:type="dxa" w:w="4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Remove "India's first" and over-claiming language throughout</w:t>
            </w:r>
          </w:p>
        </w:tc>
        <w:tc>
          <w:tcPr>
            <w:tcW w:type="dxa" w:w="15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This week</w:t>
            </w:r>
          </w:p>
        </w:tc>
      </w:tr>
      <w:tr>
        <w:tc>
          <w:tcPr>
            <w:tcW w:type="dxa" w:w="9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E65100"/>
                <w:sz w:val="18"/>
                <w:szCs w:val="18"/>
              </w:rPr>
              <w:t xml:space="preserve">🟡  P1</w:t>
            </w:r>
          </w:p>
        </w:tc>
        <w:tc>
          <w:tcPr>
            <w:tcW w:type="dxa" w:w="42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Add thali analogy slide for teacher psychology section</w:t>
            </w:r>
          </w:p>
        </w:tc>
        <w:tc>
          <w:tcPr>
            <w:tcW w:type="dxa" w:w="15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This week</w:t>
            </w:r>
          </w:p>
        </w:tc>
      </w:tr>
      <w:tr>
        <w:tc>
          <w:tcPr>
            <w:tcW w:type="dxa" w:w="9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  P2</w:t>
            </w:r>
          </w:p>
        </w:tc>
        <w:tc>
          <w:tcPr>
            <w:tcW w:type="dxa" w:w="4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Design Association Dashboard concept slide (not a full build)</w:t>
            </w:r>
          </w:p>
        </w:tc>
        <w:tc>
          <w:tcPr>
            <w:tcW w:type="dxa" w:w="15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Within 2 weeks</w:t>
            </w:r>
          </w:p>
        </w:tc>
      </w:tr>
      <w:tr>
        <w:tc>
          <w:tcPr>
            <w:tcW w:type="dxa" w:w="9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  P2</w:t>
            </w:r>
          </w:p>
        </w:tc>
        <w:tc>
          <w:tcPr>
            <w:tcW w:type="dxa" w:w="420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Move career + placement module to front half of pitch</w:t>
            </w:r>
          </w:p>
        </w:tc>
        <w:tc>
          <w:tcPr>
            <w:tcW w:type="dxa" w:w="156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FFF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Within 2 weeks</w:t>
            </w:r>
          </w:p>
        </w:tc>
      </w:tr>
      <w:tr>
        <w:tc>
          <w:tcPr>
            <w:tcW w:type="dxa" w:w="9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bCs/>
                <w:i w:val="false"/>
                <w:iCs w:val="false"/>
                <w:color w:val="2E7D32"/>
                <w:sz w:val="18"/>
                <w:szCs w:val="18"/>
              </w:rPr>
              <w:t xml:space="preserve">🟢  P2</w:t>
            </w:r>
          </w:p>
        </w:tc>
        <w:tc>
          <w:tcPr>
            <w:tcW w:type="dxa" w:w="420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Rename teacher-facing features to celebration framing</w:t>
            </w:r>
          </w:p>
        </w:tc>
        <w:tc>
          <w:tcPr>
            <w:tcW w:type="dxa" w:w="156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Subham</w:t>
            </w:r>
          </w:p>
        </w:tc>
        <w:tc>
          <w:tcPr>
            <w:tcW w:type="dxa" w:w="2040"/>
            <w:tcBorders>
              <w:top w:val="single" w:color="C5CAE9" w:sz="1"/>
              <w:left w:val="single" w:color="C5CAE9" w:sz="1"/>
              <w:bottom w:val="single" w:color="C5CAE9" w:sz="1"/>
              <w:right w:val="single" w:color="C5CAE9" w:sz="1"/>
            </w:tcBorders>
            <w:shd w:fill="F8F9FF" w:val="clear"/>
            <w:tcMar>
              <w:top w:type="dxa" w:w="70"/>
              <w:left w:type="dxa" w:w="120"/>
              <w:bottom w:type="dxa" w:w="70"/>
              <w:right w:type="dxa" w:w="120"/>
            </w:tcMar>
          </w:tcPr>
          <w:p>
            <w:pPr>
              <w:spacing w:before="0" w:after="0"/>
            </w:pPr>
            <w:r>
              <w:rPr>
                <w:rFonts w:ascii="Calibri" w:cs="Calibri" w:eastAsia="Calibri" w:hAnsi="Calibri"/>
                <w:b w:val="false"/>
                <w:bCs w:val="false"/>
                <w:i w:val="false"/>
                <w:iCs w:val="false"/>
                <w:color w:val="1A1A2E"/>
                <w:sz w:val="18"/>
                <w:szCs w:val="18"/>
              </w:rPr>
              <w:t xml:space="preserve">Within 2 weeks</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280" w:after="120"/>
      </w:pPr>
      <w:r>
        <w:rPr>
          <w:rFonts w:ascii="Calibri" w:cs="Calibri" w:eastAsia="Calibri" w:hAnsi="Calibri"/>
          <w:b/>
          <w:bCs/>
          <w:i w:val="false"/>
          <w:iCs w:val="false"/>
          <w:color w:val="1A237E"/>
          <w:sz w:val="26"/>
          <w:szCs w:val="26"/>
        </w:rPr>
        <w:t xml:space="preserve">The Single Most Important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EEF2FF" w:val="clear"/>
            <w:tcMar>
              <w:top w:type="dxa" w:w="100"/>
              <w:left w:type="dxa" w:w="200"/>
              <w:bottom w:type="dxa" w:w="60"/>
              <w:right w:type="dxa" w:w="200"/>
            </w:tcMar>
          </w:tcPr>
          <w:p>
            <w:pPr>
              <w:spacing w:before="60" w:after="60"/>
            </w:pPr>
            <w:r>
              <w:rPr>
                <w:rFonts w:ascii="Calibri" w:cs="Calibri" w:eastAsia="Calibri" w:hAnsi="Calibri"/>
                <w:b/>
                <w:bCs/>
                <w:i w:val="false"/>
                <w:iCs w:val="false"/>
                <w:color w:val="1A237E"/>
                <w:sz w:val="19"/>
                <w:szCs w:val="19"/>
              </w:rPr>
              <w:t xml:space="preserve">🎯  One Sentence Summary of All Feedback</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Institutions do not buy AI. They buy results, reliability, and adoption.</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Every change in this report is designed to shift APEXIQ's presentation from</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"look at what our technology can do"  →  to  "here is what happens to your</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students, teachers, and rankings when you use APEXIQ."</w:t>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
            </w:r>
          </w:p>
        </w:tc>
      </w:tr>
      <w:tr>
        <w:tc>
          <w:tcPr>
            <w:tcBorders>
              <w:top w:val="single" w:color="1A237E" w:sz="1"/>
              <w:left w:val="single" w:color="1A237E" w:sz="1"/>
              <w:bottom w:val="single" w:color="1A237E" w:sz="1"/>
              <w:right w:val="single" w:color="1A237E" w:sz="1"/>
            </w:tcBorders>
            <w:shd w:fill="EEF2FF" w:val="clear"/>
            <w:tcMar>
              <w:top w:type="dxa" w:w="40"/>
              <w:left w:type="dxa" w:w="200"/>
              <w:bottom w:type="dxa" w:w="40"/>
              <w:right w:type="dxa" w:w="200"/>
            </w:tcMar>
          </w:tcPr>
          <w:p>
            <w:pPr>
              <w:spacing w:before="60" w:after="60"/>
            </w:pPr>
            <w:r>
              <w:rPr>
                <w:rFonts w:ascii="Calibri" w:cs="Calibri" w:eastAsia="Calibri" w:hAnsi="Calibri"/>
                <w:b w:val="false"/>
                <w:bCs w:val="false"/>
                <w:i w:val="false"/>
                <w:iCs w:val="false"/>
                <w:color w:val="1A1A2E"/>
                <w:sz w:val="18"/>
                <w:szCs w:val="18"/>
              </w:rPr>
              <w:t xml:space="preserve">The product is ready. The story needs to match it.</w:t>
            </w:r>
          </w:p>
        </w:tc>
      </w:tr>
    </w:tbl>
    <w:p>
      <w:pPr>
        <w:spacing w:before="0" w:after="80"/>
      </w:pPr>
      <w:r>
        <w:rPr>
          <w:rFonts w:ascii="Calibri" w:cs="Calibri" w:eastAsia="Calibri" w:hAnsi="Calibri"/>
          <w:b w:val="false"/>
          <w:bCs w:val="false"/>
          <w:i w:val="false"/>
          <w:iCs w:val="false"/>
          <w:color w:val="1A1A2E"/>
          <w:sz w:val="20"/>
          <w:szCs w:val="20"/>
        </w:rPr>
        <w:t xml:space="preserve"/>
      </w:r>
    </w:p>
    <w:p>
      <w:pPr>
        <w:spacing w:before="0" w:after="80"/>
      </w:pPr>
      <w:r>
        <w:rPr>
          <w:rFonts w:ascii="Calibri" w:cs="Calibri" w:eastAsia="Calibri" w:hAnsi="Calibri"/>
          <w:b w:val="false"/>
          <w:bCs w:val="false"/>
          <w:i w:val="false"/>
          <w:iCs w:val="false"/>
          <w:color w:val="1A1A2E"/>
          <w:sz w:val="20"/>
          <w:szCs w:val="20"/>
        </w:rPr>
        <w:t xml:space="preserve"/>
      </w:r>
    </w:p>
    <w:p>
      <w:pPr>
        <w:pBdr>
          <w:bottom w:val="single" w:color="1A237E" w:sz="4" w:space="1"/>
        </w:pBdr>
        <w:spacing w:before="100" w:after="100"/>
      </w:pPr>
      <w:r>
        <w:rPr>
          <w:rFonts w:ascii="Calibri" w:cs="Calibri" w:eastAsia="Calibri" w:hAnsi="Calibri"/>
          <w:b w:val="false"/>
          <w:bCs w:val="false"/>
          <w:i w:val="false"/>
          <w:iCs w:val="false"/>
          <w:color w:val="1A1A2E"/>
          <w:sz w:val="20"/>
          <w:szCs w:val="20"/>
        </w:rPr>
        <w:t xml:space="preserve"/>
      </w:r>
    </w:p>
    <w:p>
      <w:pPr>
        <w:spacing w:before="100" w:after="60"/>
        <w:jc w:val="center"/>
      </w:pPr>
      <w:r>
        <w:rPr>
          <w:rFonts w:ascii="Calibri" w:cs="Calibri" w:eastAsia="Calibri" w:hAnsi="Calibri"/>
          <w:b w:val="false"/>
          <w:bCs w:val="false"/>
          <w:i w:val="false"/>
          <w:iCs w:val="false"/>
          <w:color w:val="546E7A"/>
          <w:sz w:val="16"/>
          <w:szCs w:val="16"/>
        </w:rPr>
        <w:t xml:space="preserve">APEXIQ — Fight. Learn. Rank.  ·  Confidential Strategic Document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2" w:space="1"/>
      </w:pBdr>
      <w:tabs>
        <w:tab w:val="right" w:pos="9026"/>
      </w:tabs>
      <w:spacing w:before="80" w:after="0"/>
    </w:pPr>
    <w:r>
      <w:rPr>
        <w:rFonts w:ascii="Calibri" w:cs="Calibri" w:eastAsia="Calibri" w:hAnsi="Calibri"/>
        <w:color w:val="546E7A"/>
        <w:sz w:val="16"/>
        <w:szCs w:val="16"/>
      </w:rPr>
      <w:t xml:space="preserve">Fight. Learn. Rank.</w:t>
    </w:r>
    <w:r>
      <w:rPr>
        <w:rFonts w:ascii="Calibri" w:cs="Calibri" w:eastAsia="Calibri" w:hAnsi="Calibri"/>
        <w:color w:val="546E7A"/>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tabs>
        <w:tab w:val="right" w:pos="9026"/>
      </w:tabs>
      <w:spacing w:before="0" w:after="80"/>
    </w:pPr>
    <w:r>
      <w:rPr>
        <w:rFonts w:ascii="Calibri" w:cs="Calibri" w:eastAsia="Calibri" w:hAnsi="Calibri"/>
        <w:b/>
        <w:bCs/>
        <w:color w:val="1A237E"/>
        <w:sz w:val="18"/>
        <w:szCs w:val="18"/>
      </w:rPr>
      <w:t xml:space="preserve">APEXIQ — Institutional Pitch Feedback Report</w:t>
    </w:r>
    <w:r>
      <w:rPr>
        <w:rFonts w:ascii="Calibri" w:cs="Calibri" w:eastAsia="Calibri" w:hAnsi="Calibri"/>
        <w:sz w:val="18"/>
        <w:szCs w:val="18"/>
      </w:rPr>
      <w:t xml:space="preserve">	</w:t>
    </w:r>
    <w:r>
      <w:rPr>
        <w:rFonts w:ascii="Calibri" w:cs="Calibri" w:eastAsia="Calibri" w:hAnsi="Calibri"/>
        <w:color w:val="546E7A"/>
        <w:sz w:val="16"/>
        <w:szCs w:val="16"/>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237E"/>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1A23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2026-03-23T07:35:59.850Z</dcterms:created>
  <dcterms:modified xsi:type="dcterms:W3CDTF">2026-03-23T07:35:59.851Z</dcterms:modified>
</cp:coreProperties>
</file>

<file path=docProps/custom.xml><?xml version="1.0" encoding="utf-8"?>
<Properties xmlns="http://schemas.openxmlformats.org/officeDocument/2006/custom-properties" xmlns:vt="http://schemas.openxmlformats.org/officeDocument/2006/docPropsVTypes"/>
</file>