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0EE8" w14:textId="6CCA8D50" w:rsidR="001D595A" w:rsidRPr="001D595A" w:rsidRDefault="001D595A" w:rsidP="001D595A">
      <w:pPr>
        <w:pStyle w:val="Heading2"/>
        <w:rPr>
          <w:rFonts w:ascii="Arial" w:hAnsi="Arial" w:cs="Arial"/>
          <w:sz w:val="32"/>
          <w:szCs w:val="32"/>
        </w:rPr>
      </w:pPr>
      <w:proofErr w:type="spellStart"/>
      <w:r w:rsidRPr="001D595A">
        <w:rPr>
          <w:rFonts w:ascii="Arial" w:hAnsi="Arial" w:cs="Arial"/>
          <w:sz w:val="32"/>
          <w:szCs w:val="32"/>
        </w:rPr>
        <w:t>NaileuXe</w:t>
      </w:r>
      <w:proofErr w:type="spellEnd"/>
    </w:p>
    <w:p w14:paraId="533D65CC" w14:textId="77777777" w:rsid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13230544" w14:textId="6C74ADD3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hyperlink r:id="rId5" w:tgtFrame="_blank" w:history="1">
        <w:r w:rsidRPr="001D595A">
          <w:rPr>
            <w:rStyle w:val="Hyperlink"/>
            <w:rFonts w:ascii="Arial" w:eastAsia="MS Mincho" w:hAnsi="Arial" w:cs="Arial"/>
            <w:sz w:val="22"/>
            <w:szCs w:val="22"/>
          </w:rPr>
          <w:t>NAILUXE.CH</w:t>
        </w:r>
      </w:hyperlink>
      <w:r w:rsidRPr="001D595A">
        <w:rPr>
          <w:rFonts w:ascii="Arial" w:hAnsi="Arial" w:cs="Arial"/>
          <w:sz w:val="22"/>
          <w:szCs w:val="22"/>
        </w:rPr>
        <w:t xml:space="preserve"> — MASTER PROJECT INSTRUCTION BRIEF</w:t>
      </w:r>
    </w:p>
    <w:p w14:paraId="418DCFA1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Project Owner: Abdul Satar Saedy, CEO Domain: </w:t>
      </w:r>
      <w:hyperlink r:id="rId6" w:tgtFrame="_blank" w:history="1">
        <w:r w:rsidRPr="001D595A">
          <w:rPr>
            <w:rStyle w:val="Hyperlink"/>
            <w:rFonts w:ascii="Arial" w:eastAsia="MS Mincho" w:hAnsi="Arial" w:cs="Arial"/>
            <w:sz w:val="22"/>
            <w:szCs w:val="22"/>
          </w:rPr>
          <w:t>nailuxe.ch</w:t>
        </w:r>
      </w:hyperlink>
      <w:r w:rsidRPr="001D595A">
        <w:rPr>
          <w:rFonts w:ascii="Arial" w:hAnsi="Arial" w:cs="Arial"/>
          <w:sz w:val="22"/>
          <w:szCs w:val="22"/>
        </w:rPr>
        <w:t xml:space="preserve"> Date Issued: March 2026 Scope: Brand launch → Swiss national rollout → EU expansion → Global premium positioning</w:t>
      </w:r>
    </w:p>
    <w:p w14:paraId="786329BA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1. PROJECT IDENTITY &amp; MISSION</w:t>
      </w:r>
    </w:p>
    <w:p w14:paraId="0F44C766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1D595A">
        <w:rPr>
          <w:rFonts w:ascii="Arial" w:hAnsi="Arial" w:cs="Arial"/>
          <w:sz w:val="22"/>
          <w:szCs w:val="22"/>
        </w:rPr>
        <w:t>Nailuxe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is a next-generation, ultra-premium nail care studio brand headquartered in Zürich, Switzerland. Its mission is to redefine nail care as a luxury wellness experience — not a commodity service — commanding the top position in the Swiss market, then expanding systematically across EU countries, and ultimately operating as a globally recognized premium studio brand.</w:t>
      </w:r>
    </w:p>
    <w:p w14:paraId="5CA24D13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Every decision — design, staffing, pricing, communication, technology, and expansion — must be evaluated against one standard: Does this reinforce </w:t>
      </w:r>
      <w:proofErr w:type="spellStart"/>
      <w:r w:rsidRPr="001D595A">
        <w:rPr>
          <w:rFonts w:ascii="Arial" w:hAnsi="Arial" w:cs="Arial"/>
          <w:sz w:val="22"/>
          <w:szCs w:val="22"/>
        </w:rPr>
        <w:t>Nailuxe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as the #1 premium nail care brand in its market?</w:t>
      </w:r>
    </w:p>
    <w:p w14:paraId="5973B482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2. TARGET CLIENT PROFILE</w:t>
      </w:r>
    </w:p>
    <w:p w14:paraId="46E0BA90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Primary market: Women aged 18–90, residing in Zürich and greater Swiss urban and semi-urban regions. Income segment: High-end to upper-medium income. Psychographic profile: Quality-conscious, aesthetics-driven, time-respecting, brand-loyal, and willing to pay a significant premium for an exceptional experience. Niche: Swiss precision, European refinement, and genuine personalization — not mass-market, not fast-nail.</w:t>
      </w:r>
    </w:p>
    <w:p w14:paraId="36621043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All marketing, interior design, service menu, pricing strategy, and staff conduct must be calibrated to this profile without exception.</w:t>
      </w:r>
    </w:p>
    <w:p w14:paraId="6B16AE08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3. BRAND POSITIONING</w:t>
      </w:r>
    </w:p>
    <w:p w14:paraId="601F64FC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1D595A">
        <w:rPr>
          <w:rFonts w:ascii="Arial" w:hAnsi="Arial" w:cs="Arial"/>
          <w:sz w:val="22"/>
          <w:szCs w:val="22"/>
        </w:rPr>
        <w:t>Nailuxe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occupies the premium-to-luxury tier — above all existing Swiss nail studios. The brand promise is:</w:t>
      </w:r>
    </w:p>
    <w:p w14:paraId="2F720FF5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lastRenderedPageBreak/>
        <w:t>Precision. Elegance. Care. Every visit, every client, every time.</w:t>
      </w:r>
    </w:p>
    <w:p w14:paraId="45DAFFDF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Competitive differentiation is built on four pillars:</w:t>
      </w:r>
    </w:p>
    <w:p w14:paraId="7D96EDFE" w14:textId="77777777" w:rsidR="001D595A" w:rsidRPr="001D595A" w:rsidRDefault="001D595A" w:rsidP="001D595A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Experience design: Studio ambiance, sensory environment, and service ritual that rival five-star hospitality.</w:t>
      </w:r>
    </w:p>
    <w:p w14:paraId="22351D44" w14:textId="77777777" w:rsidR="001D595A" w:rsidRPr="001D595A" w:rsidRDefault="001D595A" w:rsidP="001D595A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Product integrity: Exclusively premium, health-conscious, and where possible Swiss or European-certified nail products.</w:t>
      </w:r>
    </w:p>
    <w:p w14:paraId="6AB07412" w14:textId="77777777" w:rsidR="001D595A" w:rsidRPr="001D595A" w:rsidRDefault="001D595A" w:rsidP="001D595A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Talent excellence: Certified, continuously trained nail artists — not technicians.</w:t>
      </w:r>
    </w:p>
    <w:p w14:paraId="0E61C37D" w14:textId="77777777" w:rsidR="001D595A" w:rsidRPr="001D595A" w:rsidRDefault="001D595A" w:rsidP="001D595A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Data-driven personalization: Client preference tracking, appointment intelligence, and loyalty architecture informed by CRM and analytics.</w:t>
      </w:r>
    </w:p>
    <w:p w14:paraId="579549EE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4. PHASE STRUCTURE</w:t>
      </w:r>
    </w:p>
    <w:p w14:paraId="15422028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Phase 1 — Zürich Launch (Months 1–12) Establish the flagship studio in Zürich's premium retail or lifestyle district. Build brand identity, operational systems, client base, and reputation. Define and document the </w:t>
      </w:r>
      <w:proofErr w:type="spellStart"/>
      <w:r w:rsidRPr="001D595A">
        <w:rPr>
          <w:rFonts w:ascii="Arial" w:hAnsi="Arial" w:cs="Arial"/>
          <w:sz w:val="22"/>
          <w:szCs w:val="22"/>
        </w:rPr>
        <w:t>Nailuxe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Studio Standard (NSS) — the replicable operational and experience blueprint used for all future locations.</w:t>
      </w:r>
    </w:p>
    <w:p w14:paraId="24D85934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Phase 2 — Swiss National Rollout (Months 13–36) Open studios in Basel, Geneva, Bern, and Lausanne. Each location follows the NSS precisely. Studio managers are trained and certified internally. Brand consistency is non-negotiable across locations.</w:t>
      </w:r>
    </w:p>
    <w:p w14:paraId="1AE2DBFC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Phase 3 — EU Expansion (Months 37–60) Enter select EU markets — prioritizing cities with high-density affluent female demographics: Munich, Vienna, Paris arrondissements, Amsterdam, and Milan. Adapt locally (language, regulatory compliance, supplier sourcing) while preserving brand DNA.</w:t>
      </w:r>
    </w:p>
    <w:p w14:paraId="0C1E1FF4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Phase 4 — Global Premium Brand (Month 60+) Franchise or joint-venture model for markets outside EU. </w:t>
      </w:r>
      <w:proofErr w:type="spellStart"/>
      <w:r w:rsidRPr="001D595A">
        <w:rPr>
          <w:rFonts w:ascii="Arial" w:hAnsi="Arial" w:cs="Arial"/>
          <w:sz w:val="22"/>
          <w:szCs w:val="22"/>
        </w:rPr>
        <w:t>Nailuxe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operates as a brand licensor with strict quality governance. Target markets: Dubai, London, Singapore, New York.</w:t>
      </w:r>
    </w:p>
    <w:p w14:paraId="7ABC791A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5. OPERATIONAL REQUIREMENTS</w:t>
      </w:r>
    </w:p>
    <w:p w14:paraId="2B7ED3C1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lastRenderedPageBreak/>
        <w:t xml:space="preserve">Studio Standards (NSS): Every location must meet minimum standards </w:t>
      </w:r>
      <w:proofErr w:type="gramStart"/>
      <w:r w:rsidRPr="001D595A">
        <w:rPr>
          <w:rFonts w:ascii="Arial" w:hAnsi="Arial" w:cs="Arial"/>
          <w:sz w:val="22"/>
          <w:szCs w:val="22"/>
        </w:rPr>
        <w:t>across:</w:t>
      </w:r>
      <w:proofErr w:type="gramEnd"/>
      <w:r w:rsidRPr="001D595A">
        <w:rPr>
          <w:rFonts w:ascii="Arial" w:hAnsi="Arial" w:cs="Arial"/>
          <w:sz w:val="22"/>
          <w:szCs w:val="22"/>
        </w:rPr>
        <w:t xml:space="preserve"> interior design specification, service menu structure, product list, hygiene protocol, staff certification level, booking system integration, and client communication tone.</w:t>
      </w:r>
    </w:p>
    <w:p w14:paraId="3B8E6FF3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Technology Stack:</w:t>
      </w:r>
    </w:p>
    <w:p w14:paraId="62699923" w14:textId="77777777" w:rsidR="001D595A" w:rsidRPr="001D595A" w:rsidRDefault="001D595A" w:rsidP="001D595A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Online booking platform integrated with </w:t>
      </w:r>
      <w:hyperlink r:id="rId7" w:tgtFrame="_blank" w:history="1">
        <w:r w:rsidRPr="001D595A">
          <w:rPr>
            <w:rStyle w:val="Hyperlink"/>
            <w:rFonts w:ascii="Arial" w:eastAsia="MS Mincho" w:hAnsi="Arial" w:cs="Arial"/>
            <w:sz w:val="22"/>
            <w:szCs w:val="22"/>
          </w:rPr>
          <w:t>nailuxe.ch</w:t>
        </w:r>
      </w:hyperlink>
    </w:p>
    <w:p w14:paraId="0824C815" w14:textId="77777777" w:rsidR="001D595A" w:rsidRPr="001D595A" w:rsidRDefault="001D595A" w:rsidP="001D595A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CRM system with client history, preference, and loyalty tracking</w:t>
      </w:r>
    </w:p>
    <w:p w14:paraId="061C847B" w14:textId="77777777" w:rsidR="001D595A" w:rsidRPr="001D595A" w:rsidRDefault="001D595A" w:rsidP="001D595A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Analytics dashboard for revenue, utilization rate, and retention KPIs</w:t>
      </w:r>
    </w:p>
    <w:p w14:paraId="0F1314AA" w14:textId="77777777" w:rsidR="001D595A" w:rsidRPr="001D595A" w:rsidRDefault="001D595A" w:rsidP="001D595A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Social media content pipeline (Instagram-first, TikTok secondary)</w:t>
      </w:r>
    </w:p>
    <w:p w14:paraId="6A0C7727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Staffing Model:</w:t>
      </w:r>
    </w:p>
    <w:p w14:paraId="7B43F240" w14:textId="77777777" w:rsidR="001D595A" w:rsidRPr="001D595A" w:rsidRDefault="001D595A" w:rsidP="001D595A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Studio Director (per location): Operations and client experience ownership</w:t>
      </w:r>
    </w:p>
    <w:p w14:paraId="78B16E58" w14:textId="77777777" w:rsidR="001D595A" w:rsidRPr="001D595A" w:rsidRDefault="001D595A" w:rsidP="001D595A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Senior Nail Artists: Minimum 3 years certified experience, ongoing </w:t>
      </w:r>
      <w:proofErr w:type="spellStart"/>
      <w:r w:rsidRPr="001D595A">
        <w:rPr>
          <w:rFonts w:ascii="Arial" w:hAnsi="Arial" w:cs="Arial"/>
          <w:sz w:val="22"/>
          <w:szCs w:val="22"/>
        </w:rPr>
        <w:t>Nailuxe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training</w:t>
      </w:r>
    </w:p>
    <w:p w14:paraId="49E311CA" w14:textId="77777777" w:rsidR="001D595A" w:rsidRPr="001D595A" w:rsidRDefault="001D595A" w:rsidP="001D595A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Junior Artists: Trained exclusively through </w:t>
      </w:r>
      <w:proofErr w:type="spellStart"/>
      <w:r w:rsidRPr="001D595A">
        <w:rPr>
          <w:rFonts w:ascii="Arial" w:hAnsi="Arial" w:cs="Arial"/>
          <w:sz w:val="22"/>
          <w:szCs w:val="22"/>
        </w:rPr>
        <w:t>Nailuxe's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internal program</w:t>
      </w:r>
    </w:p>
    <w:p w14:paraId="272E5AE9" w14:textId="77777777" w:rsidR="001D595A" w:rsidRPr="001D595A" w:rsidRDefault="001D595A" w:rsidP="001D595A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Client Experience Coordinator: Booking, follow-up, loyalty management</w:t>
      </w:r>
    </w:p>
    <w:p w14:paraId="38625F08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Pricing Architecture: Three-tier service menu — Signature, Premium, and Atelier (bespoke/extended sessions). Pricing set at the upper range of the Zürich market, justified by experience quality, not volume.</w:t>
      </w:r>
    </w:p>
    <w:p w14:paraId="30E48D33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6. BRAND &amp; MARKETING DIRECTION</w:t>
      </w:r>
    </w:p>
    <w:p w14:paraId="4B09A875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Visual identity: Clean, refined, modern European luxury. Color palette and typography must signal precision and femininity without being generic. No pink-and-glitter mass-market aesthetics.</w:t>
      </w:r>
    </w:p>
    <w:p w14:paraId="4C905C8E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Digital presence: </w:t>
      </w:r>
      <w:hyperlink r:id="rId8" w:tgtFrame="_blank" w:history="1">
        <w:r w:rsidRPr="001D595A">
          <w:rPr>
            <w:rStyle w:val="Hyperlink"/>
            <w:rFonts w:ascii="Arial" w:eastAsia="MS Mincho" w:hAnsi="Arial" w:cs="Arial"/>
            <w:sz w:val="22"/>
            <w:szCs w:val="22"/>
          </w:rPr>
          <w:t>nailuxe.ch</w:t>
        </w:r>
      </w:hyperlink>
      <w:r w:rsidRPr="001D595A">
        <w:rPr>
          <w:rFonts w:ascii="Arial" w:hAnsi="Arial" w:cs="Arial"/>
          <w:sz w:val="22"/>
          <w:szCs w:val="22"/>
        </w:rPr>
        <w:t xml:space="preserve"> is the primary brand hub — designed and maintained to the standard of a luxury retail website. Fast, elegant, multilingual (German, French, English minimum).</w:t>
      </w:r>
    </w:p>
    <w:p w14:paraId="593B9B6F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Content strategy: Before-and-after artistry, behind-the-scenes craft, client stories (with consent), and brand values content. Influencer partnerships only with accounts whose audience matches the </w:t>
      </w:r>
      <w:proofErr w:type="spellStart"/>
      <w:r w:rsidRPr="001D595A">
        <w:rPr>
          <w:rFonts w:ascii="Arial" w:hAnsi="Arial" w:cs="Arial"/>
          <w:sz w:val="22"/>
          <w:szCs w:val="22"/>
        </w:rPr>
        <w:t>Nailuxe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client profile precisely.</w:t>
      </w:r>
    </w:p>
    <w:p w14:paraId="5EC6E816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lastRenderedPageBreak/>
        <w:t>PR &amp; partnerships: Target alignment with Swiss luxury lifestyle media, premium hotels, high-end fashion retailers, and wellness brands for co-positioning.</w:t>
      </w:r>
    </w:p>
    <w:p w14:paraId="0FC26A03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7. FINANCIAL &amp; GOVERNANCE PRINCIPLES</w:t>
      </w:r>
    </w:p>
    <w:p w14:paraId="3069BCA6" w14:textId="77777777" w:rsidR="001D595A" w:rsidRPr="001D595A" w:rsidRDefault="001D595A" w:rsidP="001D595A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All expansion decisions require positive unit economics from the preceding phase before proceeding.</w:t>
      </w:r>
    </w:p>
    <w:p w14:paraId="6376F1B0" w14:textId="77777777" w:rsidR="001D595A" w:rsidRPr="001D595A" w:rsidRDefault="001D595A" w:rsidP="001D595A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Studio-level profitability is tracked independently; underperforming locations are diagnosed and corrected before further rollout.</w:t>
      </w:r>
    </w:p>
    <w:p w14:paraId="6522CE6B" w14:textId="77777777" w:rsidR="001D595A" w:rsidRPr="001D595A" w:rsidRDefault="001D595A" w:rsidP="001D595A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The CEO (Abdul Satar Saedy) retains brand and strategic governance authority at all phases. Operational autonomy increases by phase but never compromises brand standards.</w:t>
      </w:r>
    </w:p>
    <w:p w14:paraId="0355C4C7" w14:textId="77777777" w:rsidR="001D595A" w:rsidRPr="001D595A" w:rsidRDefault="001D595A" w:rsidP="001D595A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Data science and analytics capabilities (CEO's core competency) are embedded in business decisions from Day 1 — pricing, demand forecasting, client retention modeling, and expansion site selection.</w:t>
      </w:r>
    </w:p>
    <w:p w14:paraId="0C6ABAF9" w14:textId="77777777" w:rsidR="001D595A" w:rsidRPr="001D595A" w:rsidRDefault="001D595A" w:rsidP="001D595A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8. VALUES &amp; NON-NEGOTIABLES</w:t>
      </w:r>
    </w:p>
    <w:p w14:paraId="75938A2B" w14:textId="77777777" w:rsidR="001D595A" w:rsidRPr="001D595A" w:rsidRDefault="001D595A" w:rsidP="001D595A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Client dignity and comfort are unconditional — every client, every age, every visit.</w:t>
      </w:r>
    </w:p>
    <w:p w14:paraId="382877CD" w14:textId="77777777" w:rsidR="001D595A" w:rsidRPr="001D595A" w:rsidRDefault="001D595A" w:rsidP="001D595A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 xml:space="preserve">Staff development is a brand asset — </w:t>
      </w:r>
      <w:proofErr w:type="spellStart"/>
      <w:r w:rsidRPr="001D595A">
        <w:rPr>
          <w:rFonts w:ascii="Arial" w:hAnsi="Arial" w:cs="Arial"/>
          <w:sz w:val="22"/>
          <w:szCs w:val="22"/>
        </w:rPr>
        <w:t>Nailuxe</w:t>
      </w:r>
      <w:proofErr w:type="spellEnd"/>
      <w:r w:rsidRPr="001D595A">
        <w:rPr>
          <w:rFonts w:ascii="Arial" w:hAnsi="Arial" w:cs="Arial"/>
          <w:sz w:val="22"/>
          <w:szCs w:val="22"/>
        </w:rPr>
        <w:t xml:space="preserve"> invests in its people as a long-term competitive advantage.</w:t>
      </w:r>
    </w:p>
    <w:p w14:paraId="0388C7C5" w14:textId="77777777" w:rsidR="001D595A" w:rsidRPr="001D595A" w:rsidRDefault="001D595A" w:rsidP="001D595A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No compromise on product safety or hygiene — Swiss and EU standards are the floor, not the ceiling.</w:t>
      </w:r>
    </w:p>
    <w:p w14:paraId="3164914E" w14:textId="77777777" w:rsidR="001D595A" w:rsidRPr="001D595A" w:rsidRDefault="001D595A" w:rsidP="001D595A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1D595A">
        <w:rPr>
          <w:rFonts w:ascii="Arial" w:hAnsi="Arial" w:cs="Arial"/>
          <w:sz w:val="22"/>
          <w:szCs w:val="22"/>
        </w:rPr>
        <w:t>Brand consistency over speed — growth is disciplined. One excellent studio outperforms three mediocre ones.</w:t>
      </w:r>
    </w:p>
    <w:p w14:paraId="43DB9206" w14:textId="77777777" w:rsidR="00546BCF" w:rsidRPr="001D595A" w:rsidRDefault="00546BCF" w:rsidP="001D595A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546BCF" w:rsidRPr="001D5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D4F1B"/>
    <w:multiLevelType w:val="multilevel"/>
    <w:tmpl w:val="BA1A053C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3FA6C67"/>
    <w:multiLevelType w:val="multilevel"/>
    <w:tmpl w:val="0666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27F61"/>
    <w:multiLevelType w:val="multilevel"/>
    <w:tmpl w:val="0A4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05A7D"/>
    <w:multiLevelType w:val="multilevel"/>
    <w:tmpl w:val="894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D4BD8"/>
    <w:multiLevelType w:val="multilevel"/>
    <w:tmpl w:val="B69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529A5"/>
    <w:multiLevelType w:val="multilevel"/>
    <w:tmpl w:val="BF8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217489">
    <w:abstractNumId w:val="0"/>
  </w:num>
  <w:num w:numId="2" w16cid:durableId="1922446713">
    <w:abstractNumId w:val="0"/>
  </w:num>
  <w:num w:numId="3" w16cid:durableId="861479109">
    <w:abstractNumId w:val="0"/>
  </w:num>
  <w:num w:numId="4" w16cid:durableId="344291384">
    <w:abstractNumId w:val="4"/>
  </w:num>
  <w:num w:numId="5" w16cid:durableId="1108083857">
    <w:abstractNumId w:val="1"/>
  </w:num>
  <w:num w:numId="6" w16cid:durableId="97340549">
    <w:abstractNumId w:val="2"/>
  </w:num>
  <w:num w:numId="7" w16cid:durableId="523523837">
    <w:abstractNumId w:val="3"/>
  </w:num>
  <w:num w:numId="8" w16cid:durableId="1647783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5A"/>
    <w:rsid w:val="0015073A"/>
    <w:rsid w:val="001D595A"/>
    <w:rsid w:val="00235381"/>
    <w:rsid w:val="00285BDD"/>
    <w:rsid w:val="00416D9A"/>
    <w:rsid w:val="004B2107"/>
    <w:rsid w:val="00546BCF"/>
    <w:rsid w:val="0069192D"/>
    <w:rsid w:val="006974DE"/>
    <w:rsid w:val="009955A5"/>
    <w:rsid w:val="00AB1C9D"/>
    <w:rsid w:val="00C9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15744"/>
  <w15:chartTrackingRefBased/>
  <w15:docId w15:val="{6E3BF9BD-F2C3-5643-978E-9D73071C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285BDD"/>
    <w:pPr>
      <w:keepNext/>
      <w:numPr>
        <w:numId w:val="3"/>
      </w:numPr>
      <w:spacing w:after="0" w:line="240" w:lineRule="auto"/>
      <w:outlineLvl w:val="0"/>
    </w:pPr>
    <w:rPr>
      <w:rFonts w:asciiTheme="minorBidi" w:eastAsia="Times New Roman" w:hAnsiTheme="minorBidi"/>
      <w:b/>
      <w:bCs/>
      <w:color w:val="0F9ED5" w:themeColor="accent4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autoRedefine/>
    <w:qFormat/>
    <w:rsid w:val="001D595A"/>
    <w:pPr>
      <w:keepNext/>
      <w:spacing w:after="0" w:line="240" w:lineRule="auto"/>
      <w:jc w:val="center"/>
      <w:outlineLvl w:val="1"/>
    </w:pPr>
    <w:rPr>
      <w:rFonts w:asciiTheme="minorBidi" w:eastAsia="MS Mincho" w:hAnsiTheme="minorBidi" w:cs="Arial (Body CS)"/>
      <w:b/>
      <w:bCs/>
      <w:color w:val="0F9ED5" w:themeColor="accent4"/>
      <w:sz w:val="22"/>
      <w:szCs w:val="22"/>
    </w:rPr>
  </w:style>
  <w:style w:type="paragraph" w:styleId="Heading3">
    <w:name w:val="heading 3"/>
    <w:basedOn w:val="Normal"/>
    <w:next w:val="Normal"/>
    <w:link w:val="Heading3Char"/>
    <w:autoRedefine/>
    <w:qFormat/>
    <w:rsid w:val="00C9481F"/>
    <w:pPr>
      <w:keepNext/>
      <w:tabs>
        <w:tab w:val="right" w:pos="3240"/>
      </w:tabs>
      <w:autoSpaceDE w:val="0"/>
      <w:autoSpaceDN w:val="0"/>
      <w:adjustRightInd w:val="0"/>
      <w:spacing w:after="0" w:line="240" w:lineRule="auto"/>
      <w:outlineLvl w:val="2"/>
    </w:pPr>
    <w:rPr>
      <w:rFonts w:asciiTheme="minorBidi" w:hAnsiTheme="minorBidi"/>
      <w:b/>
      <w:bCs/>
      <w:color w:val="0F9ED5" w:themeColor="accent4"/>
      <w:lang w:val="de-D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85BDD"/>
    <w:pPr>
      <w:keepNext/>
      <w:keepLines/>
      <w:spacing w:before="40" w:after="0" w:line="240" w:lineRule="auto"/>
      <w:outlineLvl w:val="3"/>
    </w:pPr>
    <w:rPr>
      <w:rFonts w:asciiTheme="minorBidi" w:eastAsiaTheme="majorEastAsia" w:hAnsiTheme="minorBidi" w:cs="Arial (Body CS)"/>
      <w:color w:val="0F9ED5" w:themeColor="accent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6D9A"/>
    <w:pPr>
      <w:spacing w:after="0" w:line="240" w:lineRule="auto"/>
    </w:pPr>
    <w:rPr>
      <w:rFonts w:ascii="Arial" w:hAnsi="Arial"/>
      <w:kern w:val="0"/>
      <w:sz w:val="1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285BDD"/>
    <w:pPr>
      <w:spacing w:before="120" w:after="0" w:line="240" w:lineRule="auto"/>
    </w:pPr>
    <w:rPr>
      <w:rFonts w:ascii="Arial" w:eastAsia="Times New Roman" w:hAnsi="Arial" w:cs="Times New Roman"/>
      <w:b/>
      <w:bCs/>
      <w:iCs/>
      <w:kern w:val="0"/>
      <w:sz w:val="20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rsid w:val="001D595A"/>
    <w:rPr>
      <w:rFonts w:asciiTheme="minorBidi" w:eastAsia="MS Mincho" w:hAnsiTheme="minorBidi" w:cs="Arial (Body CS)"/>
      <w:b/>
      <w:bCs/>
      <w:color w:val="0F9ED5" w:themeColor="accent4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85BDD"/>
    <w:rPr>
      <w:rFonts w:asciiTheme="minorBidi" w:eastAsia="Times New Roman" w:hAnsiTheme="minorBidi"/>
      <w:b/>
      <w:bCs/>
      <w:color w:val="0F9ED5" w:themeColor="accent4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rsid w:val="00C9481F"/>
    <w:rPr>
      <w:rFonts w:asciiTheme="minorBidi" w:hAnsiTheme="minorBidi"/>
      <w:b/>
      <w:bCs/>
      <w:color w:val="0F9ED5" w:themeColor="accent4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rsid w:val="00285BDD"/>
    <w:rPr>
      <w:rFonts w:asciiTheme="minorBidi" w:eastAsiaTheme="majorEastAsia" w:hAnsiTheme="minorBidi" w:cs="Arial (Body CS)"/>
      <w:color w:val="0F9ED5" w:themeColor="accent4"/>
    </w:rPr>
  </w:style>
  <w:style w:type="table" w:styleId="TableGridLight">
    <w:name w:val="Grid Table Light"/>
    <w:basedOn w:val="TableNormal"/>
    <w:uiPriority w:val="40"/>
    <w:rsid w:val="00285BDD"/>
    <w:pPr>
      <w:spacing w:after="0" w:line="240" w:lineRule="auto"/>
    </w:pPr>
    <w:rPr>
      <w:rFonts w:asciiTheme="minorBidi" w:eastAsia="Times New Roman" w:hAnsiTheme="minorBidi" w:cs="Times New Roman"/>
      <w:kern w:val="0"/>
      <w:sz w:val="20"/>
      <w:szCs w:val="20"/>
      <w:lang w:val="de-CH" w:eastAsia="de-DE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DADAD" w:themeFill="background2" w:themeFillShade="BF"/>
    </w:tcPr>
  </w:style>
  <w:style w:type="table" w:customStyle="1" w:styleId="Style1">
    <w:name w:val="Style1"/>
    <w:basedOn w:val="TableContemporary"/>
    <w:uiPriority w:val="99"/>
    <w:rsid w:val="00285BDD"/>
    <w:pPr>
      <w:spacing w:after="0" w:line="240" w:lineRule="auto"/>
    </w:pPr>
    <w:rPr>
      <w:rFonts w:asciiTheme="minorBidi" w:eastAsia="Times New Roman" w:hAnsiTheme="minorBidi"/>
      <w:color w:val="FFFFFF" w:themeColor="background1"/>
      <w:kern w:val="0"/>
      <w:sz w:val="20"/>
      <w:szCs w:val="20"/>
      <w:lang w:val="de-CH" w:eastAsia="de-DE"/>
      <w14:ligatures w14:val="none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FFFFFF" w:themeFill="background1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85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285BD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TOC2">
    <w:name w:val="toc 2"/>
    <w:basedOn w:val="Normal"/>
    <w:next w:val="Normal"/>
    <w:autoRedefine/>
    <w:uiPriority w:val="39"/>
    <w:unhideWhenUsed/>
    <w:qFormat/>
    <w:rsid w:val="00285BDD"/>
    <w:pPr>
      <w:spacing w:before="120" w:after="0" w:line="240" w:lineRule="auto"/>
      <w:ind w:left="240"/>
    </w:pPr>
    <w:rPr>
      <w:rFonts w:ascii="Arial" w:eastAsia="Times New Roman" w:hAnsi="Arial" w:cs="Times New Roman"/>
      <w:b/>
      <w:bCs/>
      <w:kern w:val="0"/>
      <w:sz w:val="20"/>
      <w:szCs w:val="26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85BDD"/>
    <w:pPr>
      <w:spacing w:after="0" w:line="240" w:lineRule="auto"/>
      <w:ind w:left="480"/>
    </w:pPr>
    <w:rPr>
      <w:rFonts w:ascii="Arial" w:eastAsia="Times New Roman" w:hAnsi="Arial" w:cs="Times New Roman"/>
      <w:kern w:val="0"/>
      <w:sz w:val="2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85BDD"/>
    <w:pPr>
      <w:spacing w:after="0" w:line="240" w:lineRule="auto"/>
      <w:ind w:left="720"/>
    </w:pPr>
    <w:rPr>
      <w:rFonts w:ascii="Arial" w:eastAsia="Times New Roman" w:hAnsi="Arial" w:cs="Times New Roman"/>
      <w:kern w:val="0"/>
      <w:sz w:val="20"/>
      <w14:ligatures w14:val="none"/>
    </w:rPr>
  </w:style>
  <w:style w:type="table" w:customStyle="1" w:styleId="Style2">
    <w:name w:val="Style2"/>
    <w:basedOn w:val="TableContemporary"/>
    <w:uiPriority w:val="99"/>
    <w:rsid w:val="00285BDD"/>
    <w:pPr>
      <w:spacing w:after="0" w:line="240" w:lineRule="auto"/>
    </w:pPr>
    <w:rPr>
      <w:rFonts w:asciiTheme="minorBidi" w:hAnsiTheme="minorBidi"/>
      <w:sz w:val="20"/>
    </w:rPr>
    <w:tblPr>
      <w:tblBorders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5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D59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ailuxe.c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ailuxe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ailuxe.ch" TargetMode="External"/><Relationship Id="rId5" Type="http://schemas.openxmlformats.org/officeDocument/2006/relationships/hyperlink" Target="http://NAILUXE.C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Satar Saedy</dc:creator>
  <cp:keywords/>
  <dc:description/>
  <cp:lastModifiedBy>Abdul Satar Saedy</cp:lastModifiedBy>
  <cp:revision>1</cp:revision>
  <dcterms:created xsi:type="dcterms:W3CDTF">2026-03-29T21:54:00Z</dcterms:created>
  <dcterms:modified xsi:type="dcterms:W3CDTF">2026-03-29T21:55:00Z</dcterms:modified>
</cp:coreProperties>
</file>