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9C93E">
      <w:pPr>
        <w:spacing w:before="200" w:after="100"/>
        <w:jc w:val="center"/>
      </w:pPr>
      <w:r>
        <w:rPr>
          <w:rFonts w:ascii="Arial" w:hAnsi="Arial" w:eastAsia="Arial" w:cs="Arial"/>
          <w:b/>
          <w:bCs/>
          <w:color w:val="1A56A0"/>
          <w:sz w:val="56"/>
          <w:szCs w:val="56"/>
        </w:rPr>
        <w:t>YUGM AI</w:t>
      </w:r>
    </w:p>
    <w:p w14:paraId="04E587A1">
      <w:pPr>
        <w:spacing w:after="80"/>
        <w:jc w:val="center"/>
      </w:pPr>
      <w:r>
        <w:rPr>
          <w:rFonts w:ascii="Arial" w:hAnsi="Arial" w:eastAsia="Arial" w:cs="Arial"/>
          <w:b/>
          <w:bCs/>
          <w:color w:val="1A1A1A"/>
          <w:sz w:val="38"/>
          <w:szCs w:val="38"/>
        </w:rPr>
        <w:t>PRIVACY POLICY</w:t>
      </w:r>
    </w:p>
    <w:p w14:paraId="0577014F">
      <w:pPr>
        <w:spacing w:after="80"/>
        <w:jc w:val="center"/>
      </w:pPr>
      <w:r>
        <w:rPr>
          <w:rFonts w:ascii="Arial" w:hAnsi="Arial" w:eastAsia="Arial" w:cs="Arial"/>
          <w:i/>
          <w:iCs/>
          <w:color w:val="555555"/>
          <w:sz w:val="23"/>
          <w:szCs w:val="23"/>
        </w:rPr>
        <w:t>Comprehensive Data Protection &amp; Privacy Framework</w:t>
      </w:r>
    </w:p>
    <w:p w14:paraId="5441F02B">
      <w:pPr>
        <w:spacing w:after="240"/>
        <w:jc w:val="center"/>
      </w:pPr>
      <w:r>
        <w:rPr>
          <w:rFonts w:ascii="Arial" w:hAnsi="Arial" w:eastAsia="Arial" w:cs="Arial"/>
          <w:color w:val="888888"/>
          <w:sz w:val="19"/>
          <w:szCs w:val="19"/>
        </w:rPr>
        <w:t xml:space="preserve">Effective Date: April </w:t>
      </w:r>
      <w:r>
        <w:rPr>
          <w:rFonts w:hint="default" w:cs="Arial"/>
          <w:color w:val="888888"/>
          <w:sz w:val="19"/>
          <w:szCs w:val="19"/>
          <w:lang w:val="en-US"/>
        </w:rPr>
        <w:t>1</w:t>
      </w:r>
      <w:bookmarkStart w:id="0" w:name="_GoBack"/>
      <w:bookmarkEnd w:id="0"/>
      <w:r>
        <w:rPr>
          <w:rFonts w:ascii="Arial" w:hAnsi="Arial" w:eastAsia="Arial" w:cs="Arial"/>
          <w:color w:val="888888"/>
          <w:sz w:val="19"/>
          <w:szCs w:val="19"/>
        </w:rPr>
        <w:t>, 2026   |   Version 1.0   |   Last Updated: April 7, 2026</w:t>
      </w:r>
    </w:p>
    <w:p w14:paraId="09E989B0">
      <w:pPr>
        <w:spacing w:after="400"/>
        <w:jc w:val="center"/>
      </w:pPr>
      <w:r>
        <w:rPr>
          <w:rFonts w:ascii="Arial" w:hAnsi="Arial" w:eastAsia="Arial" w:cs="Arial"/>
          <w:color w:val="1A56A0"/>
          <w:sz w:val="19"/>
          <w:szCs w:val="19"/>
        </w:rPr>
        <w:t>yugmai.in  •  info@yugmai.in  •  Delhi, India</w:t>
      </w:r>
    </w:p>
    <w:p w14:paraId="5D6CDB60">
      <w:pPr>
        <w:pBdr>
          <w:bottom w:val="single" w:color="DDDDDD" w:sz="2" w:space="4"/>
        </w:pBdr>
        <w:spacing w:before="160" w:after="160"/>
      </w:pPr>
    </w:p>
    <w:p w14:paraId="19986847">
      <w:pPr>
        <w:pBdr>
          <w:left w:val="single" w:color="1A56A0" w:sz="12" w:space="12"/>
        </w:pBdr>
        <w:spacing w:before="120" w:after="120"/>
        <w:ind w:left="720"/>
      </w:pPr>
      <w:r>
        <w:rPr>
          <w:rFonts w:ascii="Arial" w:hAnsi="Arial" w:eastAsia="Arial" w:cs="Arial"/>
          <w:i/>
          <w:iCs/>
          <w:color w:val="1A56A0"/>
          <w:sz w:val="20"/>
          <w:szCs w:val="20"/>
        </w:rPr>
        <w:t>This Privacy Policy is a legally binding document that governs the collection, storage, processing, and sharing of personal data across all services offered by YUGM AI. All persons accessing this platform — contributors, vendors, clients, and visitors — are bound by this policy.</w:t>
      </w:r>
    </w:p>
    <w:p w14:paraId="7AC8637E">
      <w:pPr>
        <w:spacing w:after="60"/>
      </w:pPr>
      <w:r>
        <w:rPr>
          <w:sz w:val="21"/>
          <w:szCs w:val="21"/>
        </w:rPr>
        <w:t xml:space="preserve"> </w:t>
      </w:r>
    </w:p>
    <w:p w14:paraId="0F33BFCD">
      <w:pPr>
        <w:pStyle w:val="2"/>
        <w:pBdr>
          <w:bottom w:val="single" w:color="1A56A0" w:sz="8" w:space="6"/>
        </w:pBdr>
        <w:spacing w:before="400" w:after="160"/>
      </w:pPr>
      <w:r>
        <w:rPr>
          <w:rFonts w:ascii="Arial" w:hAnsi="Arial" w:eastAsia="Arial" w:cs="Arial"/>
          <w:b/>
          <w:bCs/>
          <w:color w:val="1A56A0"/>
          <w:sz w:val="30"/>
          <w:szCs w:val="30"/>
        </w:rPr>
        <w:t>SECTION 1: ABOUT THIS POLICY</w:t>
      </w:r>
    </w:p>
    <w:p w14:paraId="4D060FAE">
      <w:pPr>
        <w:pStyle w:val="3"/>
        <w:spacing w:before="280" w:after="100"/>
      </w:pPr>
      <w:r>
        <w:rPr>
          <w:rFonts w:ascii="Arial" w:hAnsi="Arial" w:eastAsia="Arial" w:cs="Arial"/>
          <w:b/>
          <w:bCs/>
          <w:color w:val="1A1A1A"/>
          <w:sz w:val="24"/>
          <w:szCs w:val="24"/>
        </w:rPr>
        <w:t>1.1 Who We Are</w:t>
      </w:r>
    </w:p>
    <w:p w14:paraId="2097E91B">
      <w:pPr>
        <w:spacing w:after="120"/>
        <w:jc w:val="both"/>
      </w:pPr>
      <w:r>
        <w:rPr>
          <w:rFonts w:ascii="Arial" w:hAnsi="Arial" w:eastAsia="Arial" w:cs="Arial"/>
          <w:color w:val="2C2C2C"/>
          <w:sz w:val="21"/>
          <w:szCs w:val="21"/>
        </w:rPr>
        <w:t>YUGM AI (referred to as “the Company,” “we,” “us,” or “our”) is an AI data services company incorporated and operating from Delhi, India. We operate the digital platform at yugmai.in and provide AI data collection, speech and audio annotation, transcription, data quality review, and related AI training data services to machine learning teams globally.</w:t>
      </w:r>
    </w:p>
    <w:p w14:paraId="78C8DE45">
      <w:pPr>
        <w:spacing w:after="120"/>
        <w:jc w:val="both"/>
      </w:pPr>
      <w:r>
        <w:rPr>
          <w:rFonts w:ascii="Arial" w:hAnsi="Arial" w:eastAsia="Arial" w:cs="Arial"/>
          <w:color w:val="2C2C2C"/>
          <w:sz w:val="21"/>
          <w:szCs w:val="21"/>
        </w:rPr>
        <w:t>Our platform connects a global network of freelancers, contributors, and vendor teams with enterprise clients who require structured, human-generated datasets for training and testing artificial intelligence systems.</w:t>
      </w:r>
    </w:p>
    <w:p w14:paraId="365C9892">
      <w:pPr>
        <w:pStyle w:val="3"/>
        <w:spacing w:before="280" w:after="100"/>
      </w:pPr>
      <w:r>
        <w:rPr>
          <w:rFonts w:ascii="Arial" w:hAnsi="Arial" w:eastAsia="Arial" w:cs="Arial"/>
          <w:b/>
          <w:bCs/>
          <w:color w:val="1A1A1A"/>
          <w:sz w:val="24"/>
          <w:szCs w:val="24"/>
        </w:rPr>
        <w:t>1.2 Scope and Applicability</w:t>
      </w:r>
    </w:p>
    <w:p w14:paraId="61C3497D">
      <w:pPr>
        <w:spacing w:after="120"/>
        <w:jc w:val="both"/>
      </w:pPr>
      <w:r>
        <w:rPr>
          <w:rFonts w:ascii="Arial" w:hAnsi="Arial" w:eastAsia="Arial" w:cs="Arial"/>
          <w:color w:val="2C2C2C"/>
          <w:sz w:val="21"/>
          <w:szCs w:val="21"/>
        </w:rPr>
        <w:t>This Privacy Policy applies to all individuals and entities who interact with YUGM AI in any capacity, including but not limited to:</w:t>
      </w:r>
    </w:p>
    <w:p w14:paraId="0E8D8D2F">
      <w:pPr>
        <w:pStyle w:val="16"/>
        <w:numPr>
          <w:ilvl w:val="0"/>
          <w:numId w:val="1"/>
        </w:numPr>
        <w:spacing w:after="80"/>
      </w:pPr>
      <w:r>
        <w:rPr>
          <w:rFonts w:ascii="Arial" w:hAnsi="Arial" w:eastAsia="Arial" w:cs="Arial"/>
          <w:b/>
          <w:bCs/>
          <w:color w:val="1A1A1A"/>
          <w:sz w:val="21"/>
          <w:szCs w:val="21"/>
        </w:rPr>
        <w:t xml:space="preserve">Individual Contributors / Freelancers: </w:t>
      </w:r>
      <w:r>
        <w:rPr>
          <w:rFonts w:ascii="Arial" w:hAnsi="Arial" w:eastAsia="Arial" w:cs="Arial"/>
          <w:color w:val="2C2C2C"/>
          <w:sz w:val="21"/>
          <w:szCs w:val="21"/>
        </w:rPr>
        <w:t>Persons who register on the platform to participate in data collection, annotation, transcription, or quality review projects</w:t>
      </w:r>
    </w:p>
    <w:p w14:paraId="2AC90DD3">
      <w:pPr>
        <w:pStyle w:val="16"/>
        <w:numPr>
          <w:ilvl w:val="0"/>
          <w:numId w:val="1"/>
        </w:numPr>
        <w:spacing w:after="80"/>
      </w:pPr>
      <w:r>
        <w:rPr>
          <w:rFonts w:ascii="Arial" w:hAnsi="Arial" w:eastAsia="Arial" w:cs="Arial"/>
          <w:b/>
          <w:bCs/>
          <w:color w:val="1A1A1A"/>
          <w:sz w:val="21"/>
          <w:szCs w:val="21"/>
        </w:rPr>
        <w:t xml:space="preserve">Vendors and Delivery Teams: </w:t>
      </w:r>
      <w:r>
        <w:rPr>
          <w:rFonts w:ascii="Arial" w:hAnsi="Arial" w:eastAsia="Arial" w:cs="Arial"/>
          <w:color w:val="2C2C2C"/>
          <w:sz w:val="21"/>
          <w:szCs w:val="21"/>
        </w:rPr>
        <w:t>Companies or group coordinators who manage contributors and submit work on behalf of a team</w:t>
      </w:r>
    </w:p>
    <w:p w14:paraId="3B45E008">
      <w:pPr>
        <w:pStyle w:val="16"/>
        <w:numPr>
          <w:ilvl w:val="0"/>
          <w:numId w:val="1"/>
        </w:numPr>
        <w:spacing w:after="80"/>
      </w:pPr>
      <w:r>
        <w:rPr>
          <w:rFonts w:ascii="Arial" w:hAnsi="Arial" w:eastAsia="Arial" w:cs="Arial"/>
          <w:b/>
          <w:bCs/>
          <w:color w:val="1A1A1A"/>
          <w:sz w:val="21"/>
          <w:szCs w:val="21"/>
        </w:rPr>
        <w:t xml:space="preserve">Clients: </w:t>
      </w:r>
      <w:r>
        <w:rPr>
          <w:rFonts w:ascii="Arial" w:hAnsi="Arial" w:eastAsia="Arial" w:cs="Arial"/>
          <w:color w:val="2C2C2C"/>
          <w:sz w:val="21"/>
          <w:szCs w:val="21"/>
        </w:rPr>
        <w:t>Enterprises, research institutions, or individuals who commission AI training data services from YUGM AI</w:t>
      </w:r>
    </w:p>
    <w:p w14:paraId="345F4B7F">
      <w:pPr>
        <w:pStyle w:val="16"/>
        <w:numPr>
          <w:ilvl w:val="0"/>
          <w:numId w:val="1"/>
        </w:numPr>
        <w:spacing w:after="80"/>
      </w:pPr>
      <w:r>
        <w:rPr>
          <w:rFonts w:ascii="Arial" w:hAnsi="Arial" w:eastAsia="Arial" w:cs="Arial"/>
          <w:b/>
          <w:bCs/>
          <w:color w:val="1A1A1A"/>
          <w:sz w:val="21"/>
          <w:szCs w:val="21"/>
        </w:rPr>
        <w:t xml:space="preserve">Website Visitors: </w:t>
      </w:r>
      <w:r>
        <w:rPr>
          <w:rFonts w:ascii="Arial" w:hAnsi="Arial" w:eastAsia="Arial" w:cs="Arial"/>
          <w:color w:val="2C2C2C"/>
          <w:sz w:val="21"/>
          <w:szCs w:val="21"/>
        </w:rPr>
        <w:t>Any person who accesses yugmai.in without registering</w:t>
      </w:r>
    </w:p>
    <w:p w14:paraId="07A31D21">
      <w:pPr>
        <w:pStyle w:val="16"/>
        <w:numPr>
          <w:ilvl w:val="0"/>
          <w:numId w:val="1"/>
        </w:numPr>
        <w:spacing w:after="80"/>
      </w:pPr>
      <w:r>
        <w:rPr>
          <w:rFonts w:ascii="Arial" w:hAnsi="Arial" w:eastAsia="Arial" w:cs="Arial"/>
          <w:b/>
          <w:bCs/>
          <w:color w:val="1A1A1A"/>
          <w:sz w:val="21"/>
          <w:szCs w:val="21"/>
        </w:rPr>
        <w:t xml:space="preserve">Staff and Administrators: </w:t>
      </w:r>
      <w:r>
        <w:rPr>
          <w:rFonts w:ascii="Arial" w:hAnsi="Arial" w:eastAsia="Arial" w:cs="Arial"/>
          <w:color w:val="2C2C2C"/>
          <w:sz w:val="21"/>
          <w:szCs w:val="21"/>
        </w:rPr>
        <w:t>YUGM AI employees and internal team members who access the platform</w:t>
      </w:r>
    </w:p>
    <w:p w14:paraId="29C9E1CA">
      <w:pPr>
        <w:spacing w:after="120"/>
        <w:jc w:val="both"/>
      </w:pPr>
      <w:r>
        <w:rPr>
          <w:rFonts w:ascii="Arial" w:hAnsi="Arial" w:eastAsia="Arial" w:cs="Arial"/>
          <w:color w:val="2C2C2C"/>
          <w:sz w:val="21"/>
          <w:szCs w:val="21"/>
        </w:rPr>
        <w:t>This policy applies to personal data processed digitally, including data submitted via our website, dashboard, email, and any linked tools or integrations.</w:t>
      </w:r>
    </w:p>
    <w:p w14:paraId="1E0859A5">
      <w:pPr>
        <w:pStyle w:val="3"/>
        <w:spacing w:before="280" w:after="100"/>
      </w:pPr>
      <w:r>
        <w:rPr>
          <w:rFonts w:ascii="Arial" w:hAnsi="Arial" w:eastAsia="Arial" w:cs="Arial"/>
          <w:b/>
          <w:bCs/>
          <w:color w:val="1A1A1A"/>
          <w:sz w:val="24"/>
          <w:szCs w:val="24"/>
        </w:rPr>
        <w:t>1.3 Legal Framework</w:t>
      </w:r>
    </w:p>
    <w:p w14:paraId="3524D564">
      <w:pPr>
        <w:spacing w:after="120"/>
        <w:jc w:val="both"/>
      </w:pPr>
      <w:r>
        <w:rPr>
          <w:rFonts w:ascii="Arial" w:hAnsi="Arial" w:eastAsia="Arial" w:cs="Arial"/>
          <w:color w:val="2C2C2C"/>
          <w:sz w:val="21"/>
          <w:szCs w:val="21"/>
        </w:rPr>
        <w:t>YUGM AI operates in compliance with the following applicable laws and regulations:</w:t>
      </w:r>
    </w:p>
    <w:p w14:paraId="207855B2">
      <w:pPr>
        <w:pStyle w:val="16"/>
        <w:numPr>
          <w:ilvl w:val="0"/>
          <w:numId w:val="1"/>
        </w:numPr>
        <w:spacing w:after="80"/>
      </w:pPr>
      <w:r>
        <w:rPr>
          <w:rFonts w:ascii="Arial" w:hAnsi="Arial" w:eastAsia="Arial" w:cs="Arial"/>
          <w:color w:val="2C2C2C"/>
          <w:sz w:val="21"/>
          <w:szCs w:val="21"/>
        </w:rPr>
        <w:t>Digital Personal Data Protection Act, 2023 (DPDP Act) — India</w:t>
      </w:r>
    </w:p>
    <w:p w14:paraId="051288FF">
      <w:pPr>
        <w:pStyle w:val="16"/>
        <w:numPr>
          <w:ilvl w:val="0"/>
          <w:numId w:val="1"/>
        </w:numPr>
        <w:spacing w:after="80"/>
      </w:pPr>
      <w:r>
        <w:rPr>
          <w:rFonts w:ascii="Arial" w:hAnsi="Arial" w:eastAsia="Arial" w:cs="Arial"/>
          <w:color w:val="2C2C2C"/>
          <w:sz w:val="21"/>
          <w:szCs w:val="21"/>
        </w:rPr>
        <w:t>Information Technology Act, 2000 and IT (Amendment) Act, 2008 — India</w:t>
      </w:r>
    </w:p>
    <w:p w14:paraId="3D4DEE0E">
      <w:pPr>
        <w:pStyle w:val="16"/>
        <w:numPr>
          <w:ilvl w:val="0"/>
          <w:numId w:val="1"/>
        </w:numPr>
        <w:spacing w:after="80"/>
      </w:pPr>
      <w:r>
        <w:rPr>
          <w:rFonts w:ascii="Arial" w:hAnsi="Arial" w:eastAsia="Arial" w:cs="Arial"/>
          <w:color w:val="2C2C2C"/>
          <w:sz w:val="21"/>
          <w:szCs w:val="21"/>
        </w:rPr>
        <w:t>General Data Protection Regulation, 2016/679 (GDPR) — European Union (for EU-based users and clients)</w:t>
      </w:r>
    </w:p>
    <w:p w14:paraId="0D4B0C96">
      <w:pPr>
        <w:pStyle w:val="16"/>
        <w:numPr>
          <w:ilvl w:val="0"/>
          <w:numId w:val="1"/>
        </w:numPr>
        <w:spacing w:after="80"/>
      </w:pPr>
      <w:r>
        <w:rPr>
          <w:rFonts w:ascii="Arial" w:hAnsi="Arial" w:eastAsia="Arial" w:cs="Arial"/>
          <w:color w:val="2C2C2C"/>
          <w:sz w:val="21"/>
          <w:szCs w:val="21"/>
        </w:rPr>
        <w:t>California Consumer Privacy Act (CCPA) — where applicable for California-based users</w:t>
      </w:r>
    </w:p>
    <w:p w14:paraId="751A7C30">
      <w:pPr>
        <w:pStyle w:val="16"/>
        <w:numPr>
          <w:ilvl w:val="0"/>
          <w:numId w:val="1"/>
        </w:numPr>
        <w:spacing w:after="80"/>
      </w:pPr>
      <w:r>
        <w:rPr>
          <w:rFonts w:ascii="Arial" w:hAnsi="Arial" w:eastAsia="Arial" w:cs="Arial"/>
          <w:color w:val="2C2C2C"/>
          <w:sz w:val="21"/>
          <w:szCs w:val="21"/>
        </w:rPr>
        <w:t>Income Tax Act, 1961 and GST regulations — for financial and payment data</w:t>
      </w:r>
    </w:p>
    <w:p w14:paraId="5D5A2587">
      <w:pPr>
        <w:pStyle w:val="16"/>
        <w:numPr>
          <w:ilvl w:val="0"/>
          <w:numId w:val="1"/>
        </w:numPr>
        <w:spacing w:after="80"/>
      </w:pPr>
      <w:r>
        <w:rPr>
          <w:rFonts w:ascii="Arial" w:hAnsi="Arial" w:eastAsia="Arial" w:cs="Arial"/>
          <w:color w:val="2C2C2C"/>
          <w:sz w:val="21"/>
          <w:szCs w:val="21"/>
        </w:rPr>
        <w:t>Applicable employment and contract labour laws governing freelance and vendor engagements</w:t>
      </w:r>
    </w:p>
    <w:p w14:paraId="4FA043CA">
      <w:pPr>
        <w:spacing w:after="120"/>
        <w:jc w:val="both"/>
      </w:pPr>
      <w:r>
        <w:rPr>
          <w:rFonts w:ascii="Arial" w:hAnsi="Arial" w:eastAsia="Arial" w:cs="Arial"/>
          <w:color w:val="2C2C2C"/>
          <w:sz w:val="21"/>
          <w:szCs w:val="21"/>
        </w:rPr>
        <w:t>Where requirements of different laws conflict, YUGM AI will apply the standard that offers the highest level of protection to the individual concerned.</w:t>
      </w:r>
    </w:p>
    <w:p w14:paraId="21F419DE">
      <w:pPr>
        <w:pStyle w:val="3"/>
        <w:spacing w:before="280" w:after="100"/>
      </w:pPr>
      <w:r>
        <w:rPr>
          <w:rFonts w:ascii="Arial" w:hAnsi="Arial" w:eastAsia="Arial" w:cs="Arial"/>
          <w:b/>
          <w:bCs/>
          <w:color w:val="1A1A1A"/>
          <w:sz w:val="24"/>
          <w:szCs w:val="24"/>
        </w:rPr>
        <w:t>1.4 Definitions</w:t>
      </w:r>
    </w:p>
    <w:p w14:paraId="569AF3B2">
      <w:pPr>
        <w:spacing w:after="120"/>
        <w:jc w:val="both"/>
      </w:pPr>
      <w:r>
        <w:rPr>
          <w:rFonts w:ascii="Arial" w:hAnsi="Arial" w:eastAsia="Arial" w:cs="Arial"/>
          <w:color w:val="2C2C2C"/>
          <w:sz w:val="21"/>
          <w:szCs w:val="21"/>
        </w:rPr>
        <w:t>For the purposes of this Privacy Policy, the following terms shall have the meanings assigned below:</w:t>
      </w:r>
    </w:p>
    <w:p w14:paraId="223E5D7A">
      <w:pPr>
        <w:pStyle w:val="16"/>
        <w:numPr>
          <w:ilvl w:val="0"/>
          <w:numId w:val="1"/>
        </w:numPr>
        <w:spacing w:after="80"/>
      </w:pPr>
      <w:r>
        <w:rPr>
          <w:rFonts w:ascii="Arial" w:hAnsi="Arial" w:eastAsia="Arial" w:cs="Arial"/>
          <w:b/>
          <w:bCs/>
          <w:color w:val="1A1A1A"/>
          <w:sz w:val="21"/>
          <w:szCs w:val="21"/>
        </w:rPr>
        <w:t xml:space="preserve">Personal Data: </w:t>
      </w:r>
      <w:r>
        <w:rPr>
          <w:rFonts w:ascii="Arial" w:hAnsi="Arial" w:eastAsia="Arial" w:cs="Arial"/>
          <w:color w:val="2C2C2C"/>
          <w:sz w:val="21"/>
          <w:szCs w:val="21"/>
        </w:rPr>
        <w:t>Any information that directly or indirectly identifies an individual, including name, contact information, voice recordings, financial details, or device identifiers</w:t>
      </w:r>
    </w:p>
    <w:p w14:paraId="4DDA054E">
      <w:pPr>
        <w:pStyle w:val="16"/>
        <w:numPr>
          <w:ilvl w:val="0"/>
          <w:numId w:val="1"/>
        </w:numPr>
        <w:spacing w:after="80"/>
      </w:pPr>
      <w:r>
        <w:rPr>
          <w:rFonts w:ascii="Arial" w:hAnsi="Arial" w:eastAsia="Arial" w:cs="Arial"/>
          <w:b/>
          <w:bCs/>
          <w:color w:val="1A1A1A"/>
          <w:sz w:val="21"/>
          <w:szCs w:val="21"/>
        </w:rPr>
        <w:t xml:space="preserve">Processing: </w:t>
      </w:r>
      <w:r>
        <w:rPr>
          <w:rFonts w:ascii="Arial" w:hAnsi="Arial" w:eastAsia="Arial" w:cs="Arial"/>
          <w:color w:val="2C2C2C"/>
          <w:sz w:val="21"/>
          <w:szCs w:val="21"/>
        </w:rPr>
        <w:t>Any operation performed on personal data including collection, storage, use, sharing, transfer, or deletion</w:t>
      </w:r>
    </w:p>
    <w:p w14:paraId="49AAF994">
      <w:pPr>
        <w:pStyle w:val="16"/>
        <w:numPr>
          <w:ilvl w:val="0"/>
          <w:numId w:val="1"/>
        </w:numPr>
        <w:spacing w:after="80"/>
      </w:pPr>
      <w:r>
        <w:rPr>
          <w:rFonts w:ascii="Arial" w:hAnsi="Arial" w:eastAsia="Arial" w:cs="Arial"/>
          <w:b/>
          <w:bCs/>
          <w:color w:val="1A1A1A"/>
          <w:sz w:val="21"/>
          <w:szCs w:val="21"/>
        </w:rPr>
        <w:t xml:space="preserve">Data Principal: </w:t>
      </w:r>
      <w:r>
        <w:rPr>
          <w:rFonts w:ascii="Arial" w:hAnsi="Arial" w:eastAsia="Arial" w:cs="Arial"/>
          <w:color w:val="2C2C2C"/>
          <w:sz w:val="21"/>
          <w:szCs w:val="21"/>
        </w:rPr>
        <w:t>The individual to whom the personal data belongs (as defined under DPDP Act, 2023)</w:t>
      </w:r>
    </w:p>
    <w:p w14:paraId="7A226C51">
      <w:pPr>
        <w:pStyle w:val="16"/>
        <w:numPr>
          <w:ilvl w:val="0"/>
          <w:numId w:val="1"/>
        </w:numPr>
        <w:spacing w:after="80"/>
      </w:pPr>
      <w:r>
        <w:rPr>
          <w:rFonts w:ascii="Arial" w:hAnsi="Arial" w:eastAsia="Arial" w:cs="Arial"/>
          <w:b/>
          <w:bCs/>
          <w:color w:val="1A1A1A"/>
          <w:sz w:val="21"/>
          <w:szCs w:val="21"/>
        </w:rPr>
        <w:t xml:space="preserve">Data Fiduciary: </w:t>
      </w:r>
      <w:r>
        <w:rPr>
          <w:rFonts w:ascii="Arial" w:hAnsi="Arial" w:eastAsia="Arial" w:cs="Arial"/>
          <w:color w:val="2C2C2C"/>
          <w:sz w:val="21"/>
          <w:szCs w:val="21"/>
        </w:rPr>
        <w:t>YUGM AI, in its capacity as the entity that determines the purpose and means of processing personal data</w:t>
      </w:r>
    </w:p>
    <w:p w14:paraId="13DBEB32">
      <w:pPr>
        <w:pStyle w:val="16"/>
        <w:numPr>
          <w:ilvl w:val="0"/>
          <w:numId w:val="1"/>
        </w:numPr>
        <w:spacing w:after="80"/>
      </w:pPr>
      <w:r>
        <w:rPr>
          <w:rFonts w:ascii="Arial" w:hAnsi="Arial" w:eastAsia="Arial" w:cs="Arial"/>
          <w:b/>
          <w:bCs/>
          <w:color w:val="1A1A1A"/>
          <w:sz w:val="21"/>
          <w:szCs w:val="21"/>
        </w:rPr>
        <w:t xml:space="preserve">Data Processor: </w:t>
      </w:r>
      <w:r>
        <w:rPr>
          <w:rFonts w:ascii="Arial" w:hAnsi="Arial" w:eastAsia="Arial" w:cs="Arial"/>
          <w:color w:val="2C2C2C"/>
          <w:sz w:val="21"/>
          <w:szCs w:val="21"/>
        </w:rPr>
        <w:t>A third party that processes personal data on YUGM AI’s instructions</w:t>
      </w:r>
    </w:p>
    <w:p w14:paraId="7AD3DC26">
      <w:pPr>
        <w:pStyle w:val="16"/>
        <w:numPr>
          <w:ilvl w:val="0"/>
          <w:numId w:val="1"/>
        </w:numPr>
        <w:spacing w:after="80"/>
      </w:pPr>
      <w:r>
        <w:rPr>
          <w:rFonts w:ascii="Arial" w:hAnsi="Arial" w:eastAsia="Arial" w:cs="Arial"/>
          <w:b/>
          <w:bCs/>
          <w:color w:val="1A1A1A"/>
          <w:sz w:val="21"/>
          <w:szCs w:val="21"/>
        </w:rPr>
        <w:t xml:space="preserve">Sensitive Personal Data: </w:t>
      </w:r>
      <w:r>
        <w:rPr>
          <w:rFonts w:ascii="Arial" w:hAnsi="Arial" w:eastAsia="Arial" w:cs="Arial"/>
          <w:color w:val="2C2C2C"/>
          <w:sz w:val="21"/>
          <w:szCs w:val="21"/>
        </w:rPr>
        <w:t>A subset of personal data including financial information, biometric data (voice, facial), health data, government ID numbers, and other categories as defined by applicable law</w:t>
      </w:r>
    </w:p>
    <w:p w14:paraId="2861245D">
      <w:pPr>
        <w:pStyle w:val="16"/>
        <w:numPr>
          <w:ilvl w:val="0"/>
          <w:numId w:val="1"/>
        </w:numPr>
        <w:spacing w:after="80"/>
      </w:pPr>
      <w:r>
        <w:rPr>
          <w:rFonts w:ascii="Arial" w:hAnsi="Arial" w:eastAsia="Arial" w:cs="Arial"/>
          <w:b/>
          <w:bCs/>
          <w:color w:val="1A1A1A"/>
          <w:sz w:val="21"/>
          <w:szCs w:val="21"/>
        </w:rPr>
        <w:t xml:space="preserve">Consent: </w:t>
      </w:r>
      <w:r>
        <w:rPr>
          <w:rFonts w:ascii="Arial" w:hAnsi="Arial" w:eastAsia="Arial" w:cs="Arial"/>
          <w:color w:val="2C2C2C"/>
          <w:sz w:val="21"/>
          <w:szCs w:val="21"/>
        </w:rPr>
        <w:t>A freely given, informed, specific, and unambiguous indication of agreement to processing of personal data</w:t>
      </w:r>
    </w:p>
    <w:p w14:paraId="480AB9F1">
      <w:pPr>
        <w:pStyle w:val="16"/>
        <w:numPr>
          <w:ilvl w:val="0"/>
          <w:numId w:val="1"/>
        </w:numPr>
        <w:spacing w:after="80"/>
      </w:pPr>
      <w:r>
        <w:rPr>
          <w:rFonts w:ascii="Arial" w:hAnsi="Arial" w:eastAsia="Arial" w:cs="Arial"/>
          <w:b/>
          <w:bCs/>
          <w:color w:val="1A1A1A"/>
          <w:sz w:val="21"/>
          <w:szCs w:val="21"/>
        </w:rPr>
        <w:t xml:space="preserve">Project Data: </w:t>
      </w:r>
      <w:r>
        <w:rPr>
          <w:rFonts w:ascii="Arial" w:hAnsi="Arial" w:eastAsia="Arial" w:cs="Arial"/>
          <w:color w:val="2C2C2C"/>
          <w:sz w:val="21"/>
          <w:szCs w:val="21"/>
        </w:rPr>
        <w:t>Data submitted by contributors as deliverables including recordings, annotations, and transcripts</w:t>
      </w:r>
    </w:p>
    <w:p w14:paraId="17AFE742">
      <w:pPr>
        <w:pBdr>
          <w:bottom w:val="single" w:color="DDDDDD" w:sz="2" w:space="4"/>
        </w:pBdr>
        <w:spacing w:before="160" w:after="160"/>
      </w:pPr>
    </w:p>
    <w:p w14:paraId="3B4A290E">
      <w:pPr>
        <w:pStyle w:val="2"/>
        <w:pBdr>
          <w:bottom w:val="single" w:color="1A56A0" w:sz="8" w:space="6"/>
        </w:pBdr>
        <w:spacing w:before="400" w:after="160"/>
      </w:pPr>
      <w:r>
        <w:rPr>
          <w:rFonts w:ascii="Arial" w:hAnsi="Arial" w:eastAsia="Arial" w:cs="Arial"/>
          <w:b/>
          <w:bCs/>
          <w:color w:val="1A56A0"/>
          <w:sz w:val="30"/>
          <w:szCs w:val="30"/>
        </w:rPr>
        <w:t>SECTION 2: DATA COLLECTION</w:t>
      </w:r>
    </w:p>
    <w:p w14:paraId="69F08E12">
      <w:pPr>
        <w:pStyle w:val="3"/>
        <w:spacing w:before="280" w:after="100"/>
      </w:pPr>
      <w:r>
        <w:rPr>
          <w:rFonts w:ascii="Arial" w:hAnsi="Arial" w:eastAsia="Arial" w:cs="Arial"/>
          <w:b/>
          <w:bCs/>
          <w:color w:val="1A1A1A"/>
          <w:sz w:val="24"/>
          <w:szCs w:val="24"/>
        </w:rPr>
        <w:t>2.1 Categories of Data Collected</w:t>
      </w:r>
    </w:p>
    <w:p w14:paraId="35F19BD0">
      <w:pPr>
        <w:spacing w:after="120"/>
        <w:jc w:val="both"/>
      </w:pPr>
      <w:r>
        <w:rPr>
          <w:rFonts w:ascii="Arial" w:hAnsi="Arial" w:eastAsia="Arial" w:cs="Arial"/>
          <w:color w:val="2C2C2C"/>
          <w:sz w:val="21"/>
          <w:szCs w:val="21"/>
        </w:rPr>
        <w:t>YUGM AI collects personal data in three primary ways: data you provide directly, data collected automatically through platform use, and data received from third parties.</w:t>
      </w:r>
    </w:p>
    <w:p w14:paraId="1768432F">
      <w:pPr>
        <w:spacing w:before="200" w:after="80"/>
      </w:pPr>
      <w:r>
        <w:rPr>
          <w:rFonts w:ascii="Arial" w:hAnsi="Arial" w:eastAsia="Arial" w:cs="Arial"/>
          <w:b/>
          <w:bCs/>
          <w:color w:val="1A56A0"/>
          <w:sz w:val="22"/>
          <w:szCs w:val="22"/>
        </w:rPr>
        <w:t>2.1.1 Data Provided by You Directly</w:t>
      </w:r>
    </w:p>
    <w:p w14:paraId="65D9737E">
      <w:pPr>
        <w:spacing w:after="120"/>
        <w:jc w:val="both"/>
      </w:pPr>
      <w:r>
        <w:rPr>
          <w:rFonts w:ascii="Arial" w:hAnsi="Arial" w:eastAsia="Arial" w:cs="Arial"/>
          <w:color w:val="2C2C2C"/>
          <w:sz w:val="21"/>
          <w:szCs w:val="21"/>
        </w:rPr>
        <w:t>Depending on your role on the platform, we may collect the following:</w:t>
      </w:r>
    </w:p>
    <w:p w14:paraId="10F49397">
      <w:pPr>
        <w:pStyle w:val="16"/>
        <w:numPr>
          <w:ilvl w:val="0"/>
          <w:numId w:val="1"/>
        </w:numPr>
        <w:spacing w:after="80"/>
      </w:pPr>
      <w:r>
        <w:rPr>
          <w:rFonts w:ascii="Arial" w:hAnsi="Arial" w:eastAsia="Arial" w:cs="Arial"/>
          <w:b/>
          <w:bCs/>
          <w:color w:val="1A1A1A"/>
          <w:sz w:val="21"/>
          <w:szCs w:val="21"/>
        </w:rPr>
        <w:t xml:space="preserve">Identity Information: </w:t>
      </w:r>
      <w:r>
        <w:rPr>
          <w:rFonts w:ascii="Arial" w:hAnsi="Arial" w:eastAsia="Arial" w:cs="Arial"/>
          <w:color w:val="2C2C2C"/>
          <w:sz w:val="21"/>
          <w:szCs w:val="21"/>
        </w:rPr>
        <w:t>Full legal name, date of birth, gender, nationality, and profile photograph</w:t>
      </w:r>
    </w:p>
    <w:p w14:paraId="7685A06D">
      <w:pPr>
        <w:pStyle w:val="16"/>
        <w:numPr>
          <w:ilvl w:val="0"/>
          <w:numId w:val="1"/>
        </w:numPr>
        <w:spacing w:after="80"/>
      </w:pPr>
      <w:r>
        <w:rPr>
          <w:rFonts w:ascii="Arial" w:hAnsi="Arial" w:eastAsia="Arial" w:cs="Arial"/>
          <w:b/>
          <w:bCs/>
          <w:color w:val="1A1A1A"/>
          <w:sz w:val="21"/>
          <w:szCs w:val="21"/>
        </w:rPr>
        <w:t xml:space="preserve">Contact Information: </w:t>
      </w:r>
      <w:r>
        <w:rPr>
          <w:rFonts w:ascii="Arial" w:hAnsi="Arial" w:eastAsia="Arial" w:cs="Arial"/>
          <w:color w:val="2C2C2C"/>
          <w:sz w:val="21"/>
          <w:szCs w:val="21"/>
        </w:rPr>
        <w:t>Email address, phone number, residential or business address, and emergency contact details</w:t>
      </w:r>
    </w:p>
    <w:p w14:paraId="612B3689">
      <w:pPr>
        <w:pStyle w:val="16"/>
        <w:numPr>
          <w:ilvl w:val="0"/>
          <w:numId w:val="1"/>
        </w:numPr>
        <w:spacing w:after="80"/>
      </w:pPr>
      <w:r>
        <w:rPr>
          <w:rFonts w:ascii="Arial" w:hAnsi="Arial" w:eastAsia="Arial" w:cs="Arial"/>
          <w:b/>
          <w:bCs/>
          <w:color w:val="1A1A1A"/>
          <w:sz w:val="21"/>
          <w:szCs w:val="21"/>
        </w:rPr>
        <w:t xml:space="preserve">Government Identification: </w:t>
      </w:r>
      <w:r>
        <w:rPr>
          <w:rFonts w:ascii="Arial" w:hAnsi="Arial" w:eastAsia="Arial" w:cs="Arial"/>
          <w:color w:val="2C2C2C"/>
          <w:sz w:val="21"/>
          <w:szCs w:val="21"/>
        </w:rPr>
        <w:t>PAN card, Aadhaar number, passport, or equivalent government-issued ID for identity verification and tax compliance purposes</w:t>
      </w:r>
    </w:p>
    <w:p w14:paraId="31A142F4">
      <w:pPr>
        <w:pStyle w:val="16"/>
        <w:numPr>
          <w:ilvl w:val="0"/>
          <w:numId w:val="1"/>
        </w:numPr>
        <w:spacing w:after="80"/>
      </w:pPr>
      <w:r>
        <w:rPr>
          <w:rFonts w:ascii="Arial" w:hAnsi="Arial" w:eastAsia="Arial" w:cs="Arial"/>
          <w:b/>
          <w:bCs/>
          <w:color w:val="1A1A1A"/>
          <w:sz w:val="21"/>
          <w:szCs w:val="21"/>
        </w:rPr>
        <w:t xml:space="preserve">Financial and Payment Information: </w:t>
      </w:r>
      <w:r>
        <w:rPr>
          <w:rFonts w:ascii="Arial" w:hAnsi="Arial" w:eastAsia="Arial" w:cs="Arial"/>
          <w:color w:val="2C2C2C"/>
          <w:sz w:val="21"/>
          <w:szCs w:val="21"/>
        </w:rPr>
        <w:t>Bank account details, UPI IDs, PayPal or other payment handles, IFSC code, and tax identification numbers (TIN/GST)</w:t>
      </w:r>
    </w:p>
    <w:p w14:paraId="3F54691C">
      <w:pPr>
        <w:pStyle w:val="16"/>
        <w:numPr>
          <w:ilvl w:val="0"/>
          <w:numId w:val="1"/>
        </w:numPr>
        <w:spacing w:after="80"/>
      </w:pPr>
      <w:r>
        <w:rPr>
          <w:rFonts w:ascii="Arial" w:hAnsi="Arial" w:eastAsia="Arial" w:cs="Arial"/>
          <w:b/>
          <w:bCs/>
          <w:color w:val="1A1A1A"/>
          <w:sz w:val="21"/>
          <w:szCs w:val="21"/>
        </w:rPr>
        <w:t xml:space="preserve">Qualifications and Skills: </w:t>
      </w:r>
      <w:r>
        <w:rPr>
          <w:rFonts w:ascii="Arial" w:hAnsi="Arial" w:eastAsia="Arial" w:cs="Arial"/>
          <w:color w:val="2C2C2C"/>
          <w:sz w:val="21"/>
          <w:szCs w:val="21"/>
        </w:rPr>
        <w:t>Language proficiency levels, educational qualifications, professional certifications, and skill assessments completed on the platform</w:t>
      </w:r>
    </w:p>
    <w:p w14:paraId="5E8FCEEB">
      <w:pPr>
        <w:pStyle w:val="16"/>
        <w:numPr>
          <w:ilvl w:val="0"/>
          <w:numId w:val="1"/>
        </w:numPr>
        <w:spacing w:after="80"/>
      </w:pPr>
      <w:r>
        <w:rPr>
          <w:rFonts w:ascii="Arial" w:hAnsi="Arial" w:eastAsia="Arial" w:cs="Arial"/>
          <w:b/>
          <w:bCs/>
          <w:color w:val="1A1A1A"/>
          <w:sz w:val="21"/>
          <w:szCs w:val="21"/>
        </w:rPr>
        <w:t xml:space="preserve">Work Output and Project Submissions: </w:t>
      </w:r>
      <w:r>
        <w:rPr>
          <w:rFonts w:ascii="Arial" w:hAnsi="Arial" w:eastAsia="Arial" w:cs="Arial"/>
          <w:color w:val="2C2C2C"/>
          <w:sz w:val="21"/>
          <w:szCs w:val="21"/>
        </w:rPr>
        <w:t>Voice and speech recordings, audio files, written transcripts, annotated datasets, quality review decisions, and any other deliverables submitted through the platform</w:t>
      </w:r>
    </w:p>
    <w:p w14:paraId="192FDDF4">
      <w:pPr>
        <w:pStyle w:val="16"/>
        <w:numPr>
          <w:ilvl w:val="0"/>
          <w:numId w:val="1"/>
        </w:numPr>
        <w:spacing w:after="80"/>
      </w:pPr>
      <w:r>
        <w:rPr>
          <w:rFonts w:ascii="Arial" w:hAnsi="Arial" w:eastAsia="Arial" w:cs="Arial"/>
          <w:b/>
          <w:bCs/>
          <w:color w:val="1A1A1A"/>
          <w:sz w:val="21"/>
          <w:szCs w:val="21"/>
        </w:rPr>
        <w:t xml:space="preserve">Business Information (Vendors and Clients): </w:t>
      </w:r>
      <w:r>
        <w:rPr>
          <w:rFonts w:ascii="Arial" w:hAnsi="Arial" w:eastAsia="Arial" w:cs="Arial"/>
          <w:color w:val="2C2C2C"/>
          <w:sz w:val="21"/>
          <w:szCs w:val="21"/>
        </w:rPr>
        <w:t>Company name, registered address, GST number, authorised representative details, and signed agreements</w:t>
      </w:r>
    </w:p>
    <w:p w14:paraId="544B6F36">
      <w:pPr>
        <w:pStyle w:val="16"/>
        <w:numPr>
          <w:ilvl w:val="0"/>
          <w:numId w:val="1"/>
        </w:numPr>
        <w:spacing w:after="80"/>
      </w:pPr>
      <w:r>
        <w:rPr>
          <w:rFonts w:ascii="Arial" w:hAnsi="Arial" w:eastAsia="Arial" w:cs="Arial"/>
          <w:b/>
          <w:bCs/>
          <w:color w:val="1A1A1A"/>
          <w:sz w:val="21"/>
          <w:szCs w:val="21"/>
        </w:rPr>
        <w:t xml:space="preserve">Communications: </w:t>
      </w:r>
      <w:r>
        <w:rPr>
          <w:rFonts w:ascii="Arial" w:hAnsi="Arial" w:eastAsia="Arial" w:cs="Arial"/>
          <w:color w:val="2C2C2C"/>
          <w:sz w:val="21"/>
          <w:szCs w:val="21"/>
        </w:rPr>
        <w:t>Messages sent through the contact form, dashboard communications, support tickets, and emails exchanged with our team</w:t>
      </w:r>
    </w:p>
    <w:p w14:paraId="227AF202">
      <w:pPr>
        <w:pStyle w:val="16"/>
        <w:numPr>
          <w:ilvl w:val="0"/>
          <w:numId w:val="1"/>
        </w:numPr>
        <w:spacing w:after="80"/>
      </w:pPr>
      <w:r>
        <w:rPr>
          <w:rFonts w:ascii="Arial" w:hAnsi="Arial" w:eastAsia="Arial" w:cs="Arial"/>
          <w:b/>
          <w:bCs/>
          <w:color w:val="1A1A1A"/>
          <w:sz w:val="21"/>
          <w:szCs w:val="21"/>
        </w:rPr>
        <w:t xml:space="preserve">Account Credentials: </w:t>
      </w:r>
      <w:r>
        <w:rPr>
          <w:rFonts w:ascii="Arial" w:hAnsi="Arial" w:eastAsia="Arial" w:cs="Arial"/>
          <w:color w:val="2C2C2C"/>
          <w:sz w:val="21"/>
          <w:szCs w:val="21"/>
        </w:rPr>
        <w:t>Username, hashed password, and account security preferences</w:t>
      </w:r>
    </w:p>
    <w:p w14:paraId="6773E282">
      <w:pPr>
        <w:spacing w:before="200" w:after="80"/>
      </w:pPr>
      <w:r>
        <w:rPr>
          <w:rFonts w:ascii="Arial" w:hAnsi="Arial" w:eastAsia="Arial" w:cs="Arial"/>
          <w:b/>
          <w:bCs/>
          <w:color w:val="1A56A0"/>
          <w:sz w:val="22"/>
          <w:szCs w:val="22"/>
        </w:rPr>
        <w:t>2.1.2 Data Collected Automatically</w:t>
      </w:r>
    </w:p>
    <w:p w14:paraId="7F36AB73">
      <w:pPr>
        <w:spacing w:after="120"/>
        <w:jc w:val="both"/>
      </w:pPr>
      <w:r>
        <w:rPr>
          <w:rFonts w:ascii="Arial" w:hAnsi="Arial" w:eastAsia="Arial" w:cs="Arial"/>
          <w:color w:val="2C2C2C"/>
          <w:sz w:val="21"/>
          <w:szCs w:val="21"/>
        </w:rPr>
        <w:t>When you visit yugmai.in or use our platform, the following data is collected automatically:</w:t>
      </w:r>
    </w:p>
    <w:p w14:paraId="276DB042">
      <w:pPr>
        <w:pStyle w:val="16"/>
        <w:numPr>
          <w:ilvl w:val="0"/>
          <w:numId w:val="1"/>
        </w:numPr>
        <w:spacing w:after="80"/>
      </w:pPr>
      <w:r>
        <w:rPr>
          <w:rFonts w:ascii="Arial" w:hAnsi="Arial" w:eastAsia="Arial" w:cs="Arial"/>
          <w:b/>
          <w:bCs/>
          <w:color w:val="1A1A1A"/>
          <w:sz w:val="21"/>
          <w:szCs w:val="21"/>
        </w:rPr>
        <w:t xml:space="preserve">Technical Data: </w:t>
      </w:r>
      <w:r>
        <w:rPr>
          <w:rFonts w:ascii="Arial" w:hAnsi="Arial" w:eastAsia="Arial" w:cs="Arial"/>
          <w:color w:val="2C2C2C"/>
          <w:sz w:val="21"/>
          <w:szCs w:val="21"/>
        </w:rPr>
        <w:t>IP address, browser type and version, operating system, screen resolution, and device type</w:t>
      </w:r>
    </w:p>
    <w:p w14:paraId="2FA98669">
      <w:pPr>
        <w:pStyle w:val="16"/>
        <w:numPr>
          <w:ilvl w:val="0"/>
          <w:numId w:val="1"/>
        </w:numPr>
        <w:spacing w:after="80"/>
      </w:pPr>
      <w:r>
        <w:rPr>
          <w:rFonts w:ascii="Arial" w:hAnsi="Arial" w:eastAsia="Arial" w:cs="Arial"/>
          <w:b/>
          <w:bCs/>
          <w:color w:val="1A1A1A"/>
          <w:sz w:val="21"/>
          <w:szCs w:val="21"/>
        </w:rPr>
        <w:t xml:space="preserve">Usage Data: </w:t>
      </w:r>
      <w:r>
        <w:rPr>
          <w:rFonts w:ascii="Arial" w:hAnsi="Arial" w:eastAsia="Arial" w:cs="Arial"/>
          <w:color w:val="2C2C2C"/>
          <w:sz w:val="21"/>
          <w:szCs w:val="21"/>
        </w:rPr>
        <w:t>Pages visited, time spent on each page, navigation paths, links clicked, and session duration</w:t>
      </w:r>
    </w:p>
    <w:p w14:paraId="0BE77C66">
      <w:pPr>
        <w:pStyle w:val="16"/>
        <w:numPr>
          <w:ilvl w:val="0"/>
          <w:numId w:val="1"/>
        </w:numPr>
        <w:spacing w:after="80"/>
      </w:pPr>
      <w:r>
        <w:rPr>
          <w:rFonts w:ascii="Arial" w:hAnsi="Arial" w:eastAsia="Arial" w:cs="Arial"/>
          <w:b/>
          <w:bCs/>
          <w:color w:val="1A1A1A"/>
          <w:sz w:val="21"/>
          <w:szCs w:val="21"/>
        </w:rPr>
        <w:t xml:space="preserve">Login and Access Logs: </w:t>
      </w:r>
      <w:r>
        <w:rPr>
          <w:rFonts w:ascii="Arial" w:hAnsi="Arial" w:eastAsia="Arial" w:cs="Arial"/>
          <w:color w:val="2C2C2C"/>
          <w:sz w:val="21"/>
          <w:szCs w:val="21"/>
        </w:rPr>
        <w:t>Date and time of login, logout, failed login attempts, and session tokens</w:t>
      </w:r>
    </w:p>
    <w:p w14:paraId="01EADBE8">
      <w:pPr>
        <w:pStyle w:val="16"/>
        <w:numPr>
          <w:ilvl w:val="0"/>
          <w:numId w:val="1"/>
        </w:numPr>
        <w:spacing w:after="80"/>
      </w:pPr>
      <w:r>
        <w:rPr>
          <w:rFonts w:ascii="Arial" w:hAnsi="Arial" w:eastAsia="Arial" w:cs="Arial"/>
          <w:b/>
          <w:bCs/>
          <w:color w:val="1A1A1A"/>
          <w:sz w:val="21"/>
          <w:szCs w:val="21"/>
        </w:rPr>
        <w:t xml:space="preserve">Platform Activity: </w:t>
      </w:r>
      <w:r>
        <w:rPr>
          <w:rFonts w:ascii="Arial" w:hAnsi="Arial" w:eastAsia="Arial" w:cs="Arial"/>
          <w:color w:val="2C2C2C"/>
          <w:sz w:val="21"/>
          <w:szCs w:val="21"/>
        </w:rPr>
        <w:t>Submissions made, projects joined, review actions taken, dashboard interactions, and download history</w:t>
      </w:r>
    </w:p>
    <w:p w14:paraId="479EEDB0">
      <w:pPr>
        <w:pStyle w:val="16"/>
        <w:numPr>
          <w:ilvl w:val="0"/>
          <w:numId w:val="1"/>
        </w:numPr>
        <w:spacing w:after="80"/>
      </w:pPr>
      <w:r>
        <w:rPr>
          <w:rFonts w:ascii="Arial" w:hAnsi="Arial" w:eastAsia="Arial" w:cs="Arial"/>
          <w:b/>
          <w:bCs/>
          <w:color w:val="1A1A1A"/>
          <w:sz w:val="21"/>
          <w:szCs w:val="21"/>
        </w:rPr>
        <w:t xml:space="preserve">Cookie Data: </w:t>
      </w:r>
      <w:r>
        <w:rPr>
          <w:rFonts w:ascii="Arial" w:hAnsi="Arial" w:eastAsia="Arial" w:cs="Arial"/>
          <w:color w:val="2C2C2C"/>
          <w:sz w:val="21"/>
          <w:szCs w:val="21"/>
        </w:rPr>
        <w:t>Information stored and retrieved via cookies and similar tracking technologies (detailed in Section 9)</w:t>
      </w:r>
    </w:p>
    <w:p w14:paraId="57DC2E3B">
      <w:pPr>
        <w:spacing w:before="200" w:after="80"/>
      </w:pPr>
      <w:r>
        <w:rPr>
          <w:rFonts w:ascii="Arial" w:hAnsi="Arial" w:eastAsia="Arial" w:cs="Arial"/>
          <w:b/>
          <w:bCs/>
          <w:color w:val="1A56A0"/>
          <w:sz w:val="22"/>
          <w:szCs w:val="22"/>
        </w:rPr>
        <w:t>2.1.3 Data Received from Third Parties</w:t>
      </w:r>
    </w:p>
    <w:p w14:paraId="4890B4BC">
      <w:pPr>
        <w:spacing w:after="120"/>
        <w:jc w:val="both"/>
      </w:pPr>
      <w:r>
        <w:rPr>
          <w:rFonts w:ascii="Arial" w:hAnsi="Arial" w:eastAsia="Arial" w:cs="Arial"/>
          <w:color w:val="2C2C2C"/>
          <w:sz w:val="21"/>
          <w:szCs w:val="21"/>
        </w:rPr>
        <w:t>We may receive personal data about you from:</w:t>
      </w:r>
    </w:p>
    <w:p w14:paraId="4B703DF5">
      <w:pPr>
        <w:pStyle w:val="16"/>
        <w:numPr>
          <w:ilvl w:val="0"/>
          <w:numId w:val="1"/>
        </w:numPr>
        <w:spacing w:after="80"/>
      </w:pPr>
      <w:r>
        <w:rPr>
          <w:rFonts w:ascii="Arial" w:hAnsi="Arial" w:eastAsia="Arial" w:cs="Arial"/>
          <w:color w:val="2C2C2C"/>
          <w:sz w:val="21"/>
          <w:szCs w:val="21"/>
        </w:rPr>
        <w:t>Payment processors and banking partners for transaction verification</w:t>
      </w:r>
    </w:p>
    <w:p w14:paraId="735BC0D6">
      <w:pPr>
        <w:pStyle w:val="16"/>
        <w:numPr>
          <w:ilvl w:val="0"/>
          <w:numId w:val="1"/>
        </w:numPr>
        <w:spacing w:after="80"/>
      </w:pPr>
      <w:r>
        <w:rPr>
          <w:rFonts w:ascii="Arial" w:hAnsi="Arial" w:eastAsia="Arial" w:cs="Arial"/>
          <w:color w:val="2C2C2C"/>
          <w:sz w:val="21"/>
          <w:szCs w:val="21"/>
        </w:rPr>
        <w:t>Identity verification and KYC service providers</w:t>
      </w:r>
    </w:p>
    <w:p w14:paraId="3F544ACE">
      <w:pPr>
        <w:pStyle w:val="16"/>
        <w:numPr>
          <w:ilvl w:val="0"/>
          <w:numId w:val="1"/>
        </w:numPr>
        <w:spacing w:after="80"/>
      </w:pPr>
      <w:r>
        <w:rPr>
          <w:rFonts w:ascii="Arial" w:hAnsi="Arial" w:eastAsia="Arial" w:cs="Arial"/>
          <w:color w:val="2C2C2C"/>
          <w:sz w:val="21"/>
          <w:szCs w:val="21"/>
        </w:rPr>
        <w:t>Referral sources or recruitment partners who introduce contributors to the platform</w:t>
      </w:r>
    </w:p>
    <w:p w14:paraId="5F9311EB">
      <w:pPr>
        <w:pStyle w:val="16"/>
        <w:numPr>
          <w:ilvl w:val="0"/>
          <w:numId w:val="1"/>
        </w:numPr>
        <w:spacing w:after="80"/>
      </w:pPr>
      <w:r>
        <w:rPr>
          <w:rFonts w:ascii="Arial" w:hAnsi="Arial" w:eastAsia="Arial" w:cs="Arial"/>
          <w:color w:val="2C2C2C"/>
          <w:sz w:val="21"/>
          <w:szCs w:val="21"/>
        </w:rPr>
        <w:t>Publicly available professional profiles where you have made information publicly accessible</w:t>
      </w:r>
    </w:p>
    <w:p w14:paraId="72B344F5">
      <w:pPr>
        <w:pStyle w:val="3"/>
        <w:spacing w:before="280" w:after="100"/>
      </w:pPr>
      <w:r>
        <w:rPr>
          <w:rFonts w:ascii="Arial" w:hAnsi="Arial" w:eastAsia="Arial" w:cs="Arial"/>
          <w:b/>
          <w:bCs/>
          <w:color w:val="1A1A1A"/>
          <w:sz w:val="24"/>
          <w:szCs w:val="24"/>
        </w:rPr>
        <w:t>2.2 Special Categories of Sensitive Data</w:t>
      </w:r>
    </w:p>
    <w:p w14:paraId="49CB84D9">
      <w:pPr>
        <w:spacing w:after="120"/>
        <w:jc w:val="both"/>
      </w:pPr>
      <w:r>
        <w:rPr>
          <w:rFonts w:ascii="Arial" w:hAnsi="Arial" w:eastAsia="Arial" w:cs="Arial"/>
          <w:color w:val="2C2C2C"/>
          <w:sz w:val="21"/>
          <w:szCs w:val="21"/>
        </w:rPr>
        <w:t>YUGM AI collects and processes certain categories of sensitive personal data specifically in the context of our AI data services. These include:</w:t>
      </w:r>
    </w:p>
    <w:p w14:paraId="47FC7A28">
      <w:pPr>
        <w:pStyle w:val="16"/>
        <w:numPr>
          <w:ilvl w:val="0"/>
          <w:numId w:val="1"/>
        </w:numPr>
        <w:spacing w:after="80"/>
      </w:pPr>
      <w:r>
        <w:rPr>
          <w:rFonts w:ascii="Arial" w:hAnsi="Arial" w:eastAsia="Arial" w:cs="Arial"/>
          <w:b/>
          <w:bCs/>
          <w:color w:val="1A1A1A"/>
          <w:sz w:val="21"/>
          <w:szCs w:val="21"/>
        </w:rPr>
        <w:t xml:space="preserve">Biometric Data: </w:t>
      </w:r>
      <w:r>
        <w:rPr>
          <w:rFonts w:ascii="Arial" w:hAnsi="Arial" w:eastAsia="Arial" w:cs="Arial"/>
          <w:color w:val="2C2C2C"/>
          <w:sz w:val="21"/>
          <w:szCs w:val="21"/>
        </w:rPr>
        <w:t>Voice recordings and speech samples constitute biometric data under certain legal frameworks. Such data is collected only with explicit, informed consent as part of specific project participation</w:t>
      </w:r>
    </w:p>
    <w:p w14:paraId="584FF3AF">
      <w:pPr>
        <w:pStyle w:val="16"/>
        <w:numPr>
          <w:ilvl w:val="0"/>
          <w:numId w:val="1"/>
        </w:numPr>
        <w:spacing w:after="80"/>
      </w:pPr>
      <w:r>
        <w:rPr>
          <w:rFonts w:ascii="Arial" w:hAnsi="Arial" w:eastAsia="Arial" w:cs="Arial"/>
          <w:b/>
          <w:bCs/>
          <w:color w:val="1A1A1A"/>
          <w:sz w:val="21"/>
          <w:szCs w:val="21"/>
        </w:rPr>
        <w:t xml:space="preserve">Government ID Data: </w:t>
      </w:r>
      <w:r>
        <w:rPr>
          <w:rFonts w:ascii="Arial" w:hAnsi="Arial" w:eastAsia="Arial" w:cs="Arial"/>
          <w:color w:val="2C2C2C"/>
          <w:sz w:val="21"/>
          <w:szCs w:val="21"/>
        </w:rPr>
        <w:t>PAN, Aadhaar, and passport numbers are collected solely for identity verification and statutory compliance purposes and are stored with enhanced security controls</w:t>
      </w:r>
    </w:p>
    <w:p w14:paraId="4383794B">
      <w:pPr>
        <w:pStyle w:val="16"/>
        <w:numPr>
          <w:ilvl w:val="0"/>
          <w:numId w:val="1"/>
        </w:numPr>
        <w:spacing w:after="80"/>
      </w:pPr>
      <w:r>
        <w:rPr>
          <w:rFonts w:ascii="Arial" w:hAnsi="Arial" w:eastAsia="Arial" w:cs="Arial"/>
          <w:b/>
          <w:bCs/>
          <w:color w:val="1A1A1A"/>
          <w:sz w:val="21"/>
          <w:szCs w:val="21"/>
        </w:rPr>
        <w:t xml:space="preserve">Financial Data: </w:t>
      </w:r>
      <w:r>
        <w:rPr>
          <w:rFonts w:ascii="Arial" w:hAnsi="Arial" w:eastAsia="Arial" w:cs="Arial"/>
          <w:color w:val="2C2C2C"/>
          <w:sz w:val="21"/>
          <w:szCs w:val="21"/>
        </w:rPr>
        <w:t>Bank account details are collected for payment processing only and are not used for any other purpose</w:t>
      </w:r>
    </w:p>
    <w:p w14:paraId="2D9AFE17">
      <w:pPr>
        <w:spacing w:after="120"/>
        <w:jc w:val="both"/>
      </w:pPr>
      <w:r>
        <w:rPr>
          <w:rFonts w:ascii="Arial" w:hAnsi="Arial" w:eastAsia="Arial" w:cs="Arial"/>
          <w:color w:val="2C2C2C"/>
          <w:sz w:val="21"/>
          <w:szCs w:val="21"/>
        </w:rPr>
        <w:t>All sensitive data is processed strictly for the stated purpose and is not used for profiling, marketing, or any secondary use without separate, explicit consent.</w:t>
      </w:r>
    </w:p>
    <w:p w14:paraId="5CE162DC">
      <w:pPr>
        <w:pStyle w:val="3"/>
        <w:spacing w:before="280" w:after="100"/>
      </w:pPr>
      <w:r>
        <w:rPr>
          <w:rFonts w:ascii="Arial" w:hAnsi="Arial" w:eastAsia="Arial" w:cs="Arial"/>
          <w:b/>
          <w:bCs/>
          <w:color w:val="1A1A1A"/>
          <w:sz w:val="24"/>
          <w:szCs w:val="24"/>
        </w:rPr>
        <w:t>2.3 Data You Are Not Required to Provide</w:t>
      </w:r>
    </w:p>
    <w:p w14:paraId="7F8571E1">
      <w:pPr>
        <w:spacing w:after="120"/>
        <w:jc w:val="both"/>
      </w:pPr>
      <w:r>
        <w:rPr>
          <w:rFonts w:ascii="Arial" w:hAnsi="Arial" w:eastAsia="Arial" w:cs="Arial"/>
          <w:color w:val="2C2C2C"/>
          <w:sz w:val="21"/>
          <w:szCs w:val="21"/>
        </w:rPr>
        <w:t>Registration on the platform requires certain minimum data. However, optional fields (such as profile photographs, social media handles, or secondary contact information) are voluntary. Declining to provide optional data will not affect your ability to register or participate in projects, except where specific project requirements make certain qualifications mandatory.</w:t>
      </w:r>
    </w:p>
    <w:p w14:paraId="13603ED2">
      <w:pPr>
        <w:pBdr>
          <w:bottom w:val="single" w:color="DDDDDD" w:sz="2" w:space="4"/>
        </w:pBdr>
        <w:spacing w:before="160" w:after="160"/>
      </w:pPr>
    </w:p>
    <w:p w14:paraId="40701F43">
      <w:pPr>
        <w:pStyle w:val="2"/>
        <w:pBdr>
          <w:bottom w:val="single" w:color="1A56A0" w:sz="8" w:space="6"/>
        </w:pBdr>
        <w:spacing w:before="400" w:after="160"/>
      </w:pPr>
      <w:r>
        <w:rPr>
          <w:rFonts w:ascii="Arial" w:hAnsi="Arial" w:eastAsia="Arial" w:cs="Arial"/>
          <w:b/>
          <w:bCs/>
          <w:color w:val="1A56A0"/>
          <w:sz w:val="30"/>
          <w:szCs w:val="30"/>
        </w:rPr>
        <w:t>SECTION 3: PURPOSE AND LEGAL BASIS FOR PROCESSING</w:t>
      </w:r>
    </w:p>
    <w:p w14:paraId="344BE49E">
      <w:pPr>
        <w:pStyle w:val="3"/>
        <w:spacing w:before="280" w:after="100"/>
      </w:pPr>
      <w:r>
        <w:rPr>
          <w:rFonts w:ascii="Arial" w:hAnsi="Arial" w:eastAsia="Arial" w:cs="Arial"/>
          <w:b/>
          <w:bCs/>
          <w:color w:val="1A1A1A"/>
          <w:sz w:val="24"/>
          <w:szCs w:val="24"/>
        </w:rPr>
        <w:t>3.1 Purposes of Processing</w:t>
      </w:r>
    </w:p>
    <w:p w14:paraId="5F8DD8A2">
      <w:pPr>
        <w:spacing w:after="120"/>
        <w:jc w:val="both"/>
      </w:pPr>
      <w:r>
        <w:rPr>
          <w:rFonts w:ascii="Arial" w:hAnsi="Arial" w:eastAsia="Arial" w:cs="Arial"/>
          <w:color w:val="2C2C2C"/>
          <w:sz w:val="21"/>
          <w:szCs w:val="21"/>
        </w:rPr>
        <w:t>YUGM AI processes personal data for the following specific and legitimate purposes:</w:t>
      </w:r>
    </w:p>
    <w:p w14:paraId="0BA10910">
      <w:pPr>
        <w:spacing w:before="200" w:after="80"/>
      </w:pPr>
      <w:r>
        <w:rPr>
          <w:rFonts w:ascii="Arial" w:hAnsi="Arial" w:eastAsia="Arial" w:cs="Arial"/>
          <w:b/>
          <w:bCs/>
          <w:color w:val="1A56A0"/>
          <w:sz w:val="22"/>
          <w:szCs w:val="22"/>
        </w:rPr>
        <w:t>3.1.1 Platform Operations and Account Management</w:t>
      </w:r>
    </w:p>
    <w:p w14:paraId="51FD0F79">
      <w:pPr>
        <w:pStyle w:val="16"/>
        <w:numPr>
          <w:ilvl w:val="0"/>
          <w:numId w:val="1"/>
        </w:numPr>
        <w:spacing w:after="80"/>
      </w:pPr>
      <w:r>
        <w:rPr>
          <w:rFonts w:ascii="Arial" w:hAnsi="Arial" w:eastAsia="Arial" w:cs="Arial"/>
          <w:color w:val="2C2C2C"/>
          <w:sz w:val="21"/>
          <w:szCs w:val="21"/>
        </w:rPr>
        <w:t>Creating and managing user accounts for contributors, vendors, and clients</w:t>
      </w:r>
    </w:p>
    <w:p w14:paraId="469BBB01">
      <w:pPr>
        <w:pStyle w:val="16"/>
        <w:numPr>
          <w:ilvl w:val="0"/>
          <w:numId w:val="1"/>
        </w:numPr>
        <w:spacing w:after="80"/>
      </w:pPr>
      <w:r>
        <w:rPr>
          <w:rFonts w:ascii="Arial" w:hAnsi="Arial" w:eastAsia="Arial" w:cs="Arial"/>
          <w:color w:val="2C2C2C"/>
          <w:sz w:val="21"/>
          <w:szCs w:val="21"/>
        </w:rPr>
        <w:t>Verifying the identity of registered users to prevent fraud and ensure compliance</w:t>
      </w:r>
    </w:p>
    <w:p w14:paraId="4FC5021B">
      <w:pPr>
        <w:pStyle w:val="16"/>
        <w:numPr>
          <w:ilvl w:val="0"/>
          <w:numId w:val="1"/>
        </w:numPr>
        <w:spacing w:after="80"/>
      </w:pPr>
      <w:r>
        <w:rPr>
          <w:rFonts w:ascii="Arial" w:hAnsi="Arial" w:eastAsia="Arial" w:cs="Arial"/>
          <w:color w:val="2C2C2C"/>
          <w:sz w:val="21"/>
          <w:szCs w:val="21"/>
        </w:rPr>
        <w:t>Enabling login, session management, and account security</w:t>
      </w:r>
    </w:p>
    <w:p w14:paraId="2EBF8467">
      <w:pPr>
        <w:pStyle w:val="16"/>
        <w:numPr>
          <w:ilvl w:val="0"/>
          <w:numId w:val="1"/>
        </w:numPr>
        <w:spacing w:after="80"/>
      </w:pPr>
      <w:r>
        <w:rPr>
          <w:rFonts w:ascii="Arial" w:hAnsi="Arial" w:eastAsia="Arial" w:cs="Arial"/>
          <w:color w:val="2C2C2C"/>
          <w:sz w:val="21"/>
          <w:szCs w:val="21"/>
        </w:rPr>
        <w:t>Communicating service updates, project notifications, and operational alerts</w:t>
      </w:r>
    </w:p>
    <w:p w14:paraId="3604B5FD">
      <w:pPr>
        <w:spacing w:before="200" w:after="80"/>
      </w:pPr>
      <w:r>
        <w:rPr>
          <w:rFonts w:ascii="Arial" w:hAnsi="Arial" w:eastAsia="Arial" w:cs="Arial"/>
          <w:b/>
          <w:bCs/>
          <w:color w:val="1A56A0"/>
          <w:sz w:val="22"/>
          <w:szCs w:val="22"/>
        </w:rPr>
        <w:t>3.1.2 Project Delivery and AI Data Services</w:t>
      </w:r>
    </w:p>
    <w:p w14:paraId="35CADAB5">
      <w:pPr>
        <w:pStyle w:val="16"/>
        <w:numPr>
          <w:ilvl w:val="0"/>
          <w:numId w:val="1"/>
        </w:numPr>
        <w:spacing w:after="80"/>
      </w:pPr>
      <w:r>
        <w:rPr>
          <w:rFonts w:ascii="Arial" w:hAnsi="Arial" w:eastAsia="Arial" w:cs="Arial"/>
          <w:color w:val="2C2C2C"/>
          <w:sz w:val="21"/>
          <w:szCs w:val="21"/>
        </w:rPr>
        <w:t>Matching contributors to suitable projects based on language skills, qualifications, and availability</w:t>
      </w:r>
    </w:p>
    <w:p w14:paraId="745DA34E">
      <w:pPr>
        <w:pStyle w:val="16"/>
        <w:numPr>
          <w:ilvl w:val="0"/>
          <w:numId w:val="1"/>
        </w:numPr>
        <w:spacing w:after="80"/>
      </w:pPr>
      <w:r>
        <w:rPr>
          <w:rFonts w:ascii="Arial" w:hAnsi="Arial" w:eastAsia="Arial" w:cs="Arial"/>
          <w:color w:val="2C2C2C"/>
          <w:sz w:val="21"/>
          <w:szCs w:val="21"/>
        </w:rPr>
        <w:t>Collecting, processing, and delivering AI training datasets including audio recordings, annotations, and transcripts to clients</w:t>
      </w:r>
    </w:p>
    <w:p w14:paraId="06A031B2">
      <w:pPr>
        <w:pStyle w:val="16"/>
        <w:numPr>
          <w:ilvl w:val="0"/>
          <w:numId w:val="1"/>
        </w:numPr>
        <w:spacing w:after="80"/>
      </w:pPr>
      <w:r>
        <w:rPr>
          <w:rFonts w:ascii="Arial" w:hAnsi="Arial" w:eastAsia="Arial" w:cs="Arial"/>
          <w:color w:val="2C2C2C"/>
          <w:sz w:val="21"/>
          <w:szCs w:val="21"/>
        </w:rPr>
        <w:t>Conducting quality review of submitted work to ensure compliance with project guidelines</w:t>
      </w:r>
    </w:p>
    <w:p w14:paraId="4B7D405A">
      <w:pPr>
        <w:pStyle w:val="16"/>
        <w:numPr>
          <w:ilvl w:val="0"/>
          <w:numId w:val="1"/>
        </w:numPr>
        <w:spacing w:after="80"/>
      </w:pPr>
      <w:r>
        <w:rPr>
          <w:rFonts w:ascii="Arial" w:hAnsi="Arial" w:eastAsia="Arial" w:cs="Arial"/>
          <w:color w:val="2C2C2C"/>
          <w:sz w:val="21"/>
          <w:szCs w:val="21"/>
        </w:rPr>
        <w:t>Managing submission workflows, approval pipelines, and delivery tracking</w:t>
      </w:r>
    </w:p>
    <w:p w14:paraId="582C63D3">
      <w:pPr>
        <w:spacing w:before="200" w:after="80"/>
      </w:pPr>
      <w:r>
        <w:rPr>
          <w:rFonts w:ascii="Arial" w:hAnsi="Arial" w:eastAsia="Arial" w:cs="Arial"/>
          <w:b/>
          <w:bCs/>
          <w:color w:val="1A56A0"/>
          <w:sz w:val="22"/>
          <w:szCs w:val="22"/>
        </w:rPr>
        <w:t>3.1.3 Payments and Financial Compliance</w:t>
      </w:r>
    </w:p>
    <w:p w14:paraId="187438FC">
      <w:pPr>
        <w:pStyle w:val="16"/>
        <w:numPr>
          <w:ilvl w:val="0"/>
          <w:numId w:val="1"/>
        </w:numPr>
        <w:spacing w:after="80"/>
      </w:pPr>
      <w:r>
        <w:rPr>
          <w:rFonts w:ascii="Arial" w:hAnsi="Arial" w:eastAsia="Arial" w:cs="Arial"/>
          <w:color w:val="2C2C2C"/>
          <w:sz w:val="21"/>
          <w:szCs w:val="21"/>
        </w:rPr>
        <w:t>Processing earnings and payouts to contributors and vendors</w:t>
      </w:r>
    </w:p>
    <w:p w14:paraId="64153E6C">
      <w:pPr>
        <w:pStyle w:val="16"/>
        <w:numPr>
          <w:ilvl w:val="0"/>
          <w:numId w:val="1"/>
        </w:numPr>
        <w:spacing w:after="80"/>
      </w:pPr>
      <w:r>
        <w:rPr>
          <w:rFonts w:ascii="Arial" w:hAnsi="Arial" w:eastAsia="Arial" w:cs="Arial"/>
          <w:color w:val="2C2C2C"/>
          <w:sz w:val="21"/>
          <w:szCs w:val="21"/>
        </w:rPr>
        <w:t>Generating invoices and payment receipts</w:t>
      </w:r>
    </w:p>
    <w:p w14:paraId="72F0E4BD">
      <w:pPr>
        <w:pStyle w:val="16"/>
        <w:numPr>
          <w:ilvl w:val="0"/>
          <w:numId w:val="1"/>
        </w:numPr>
        <w:spacing w:after="80"/>
      </w:pPr>
      <w:r>
        <w:rPr>
          <w:rFonts w:ascii="Arial" w:hAnsi="Arial" w:eastAsia="Arial" w:cs="Arial"/>
          <w:color w:val="2C2C2C"/>
          <w:sz w:val="21"/>
          <w:szCs w:val="21"/>
        </w:rPr>
        <w:t>Complying with TDS (Tax Deducted at Source) obligations under Indian income tax law</w:t>
      </w:r>
    </w:p>
    <w:p w14:paraId="5FED7A93">
      <w:pPr>
        <w:pStyle w:val="16"/>
        <w:numPr>
          <w:ilvl w:val="0"/>
          <w:numId w:val="1"/>
        </w:numPr>
        <w:spacing w:after="80"/>
      </w:pPr>
      <w:r>
        <w:rPr>
          <w:rFonts w:ascii="Arial" w:hAnsi="Arial" w:eastAsia="Arial" w:cs="Arial"/>
          <w:color w:val="2C2C2C"/>
          <w:sz w:val="21"/>
          <w:szCs w:val="21"/>
        </w:rPr>
        <w:t>Maintaining financial records as required by law for a minimum of seven (7) years</w:t>
      </w:r>
    </w:p>
    <w:p w14:paraId="73B401FB">
      <w:pPr>
        <w:spacing w:before="200" w:after="80"/>
      </w:pPr>
      <w:r>
        <w:rPr>
          <w:rFonts w:ascii="Arial" w:hAnsi="Arial" w:eastAsia="Arial" w:cs="Arial"/>
          <w:b/>
          <w:bCs/>
          <w:color w:val="1A56A0"/>
          <w:sz w:val="22"/>
          <w:szCs w:val="22"/>
        </w:rPr>
        <w:t>3.1.4 Legal, Regulatory, and Security Obligations</w:t>
      </w:r>
    </w:p>
    <w:p w14:paraId="7542CE2B">
      <w:pPr>
        <w:pStyle w:val="16"/>
        <w:numPr>
          <w:ilvl w:val="0"/>
          <w:numId w:val="1"/>
        </w:numPr>
        <w:spacing w:after="80"/>
      </w:pPr>
      <w:r>
        <w:rPr>
          <w:rFonts w:ascii="Arial" w:hAnsi="Arial" w:eastAsia="Arial" w:cs="Arial"/>
          <w:color w:val="2C2C2C"/>
          <w:sz w:val="21"/>
          <w:szCs w:val="21"/>
        </w:rPr>
        <w:t>Complying with applicable Indian and international laws, court orders, and regulatory requirements</w:t>
      </w:r>
    </w:p>
    <w:p w14:paraId="372FC147">
      <w:pPr>
        <w:pStyle w:val="16"/>
        <w:numPr>
          <w:ilvl w:val="0"/>
          <w:numId w:val="1"/>
        </w:numPr>
        <w:spacing w:after="80"/>
      </w:pPr>
      <w:r>
        <w:rPr>
          <w:rFonts w:ascii="Arial" w:hAnsi="Arial" w:eastAsia="Arial" w:cs="Arial"/>
          <w:color w:val="2C2C2C"/>
          <w:sz w:val="21"/>
          <w:szCs w:val="21"/>
        </w:rPr>
        <w:t>Preventing, detecting, and investigating fraud, misuse, or unauthorised access</w:t>
      </w:r>
    </w:p>
    <w:p w14:paraId="386DEE70">
      <w:pPr>
        <w:pStyle w:val="16"/>
        <w:numPr>
          <w:ilvl w:val="0"/>
          <w:numId w:val="1"/>
        </w:numPr>
        <w:spacing w:after="80"/>
      </w:pPr>
      <w:r>
        <w:rPr>
          <w:rFonts w:ascii="Arial" w:hAnsi="Arial" w:eastAsia="Arial" w:cs="Arial"/>
          <w:color w:val="2C2C2C"/>
          <w:sz w:val="21"/>
          <w:szCs w:val="21"/>
        </w:rPr>
        <w:t>Enforcing the Terms and Conditions, Contributor Agreements, and Client Service Agreements</w:t>
      </w:r>
    </w:p>
    <w:p w14:paraId="15A12334">
      <w:pPr>
        <w:pStyle w:val="16"/>
        <w:numPr>
          <w:ilvl w:val="0"/>
          <w:numId w:val="1"/>
        </w:numPr>
        <w:spacing w:after="80"/>
      </w:pPr>
      <w:r>
        <w:rPr>
          <w:rFonts w:ascii="Arial" w:hAnsi="Arial" w:eastAsia="Arial" w:cs="Arial"/>
          <w:color w:val="2C2C2C"/>
          <w:sz w:val="21"/>
          <w:szCs w:val="21"/>
        </w:rPr>
        <w:t>Maintaining audit trails and records for dispute resolution</w:t>
      </w:r>
    </w:p>
    <w:p w14:paraId="58185ABA">
      <w:pPr>
        <w:spacing w:before="200" w:after="80"/>
      </w:pPr>
      <w:r>
        <w:rPr>
          <w:rFonts w:ascii="Arial" w:hAnsi="Arial" w:eastAsia="Arial" w:cs="Arial"/>
          <w:b/>
          <w:bCs/>
          <w:color w:val="1A56A0"/>
          <w:sz w:val="22"/>
          <w:szCs w:val="22"/>
        </w:rPr>
        <w:t>3.1.5 Platform Improvement and Analytics</w:t>
      </w:r>
    </w:p>
    <w:p w14:paraId="15050069">
      <w:pPr>
        <w:pStyle w:val="16"/>
        <w:numPr>
          <w:ilvl w:val="0"/>
          <w:numId w:val="1"/>
        </w:numPr>
        <w:spacing w:after="80"/>
      </w:pPr>
      <w:r>
        <w:rPr>
          <w:rFonts w:ascii="Arial" w:hAnsi="Arial" w:eastAsia="Arial" w:cs="Arial"/>
          <w:color w:val="2C2C2C"/>
          <w:sz w:val="21"/>
          <w:szCs w:val="21"/>
        </w:rPr>
        <w:t>Analysing platform usage to improve user experience and service quality</w:t>
      </w:r>
    </w:p>
    <w:p w14:paraId="5E19EFEC">
      <w:pPr>
        <w:pStyle w:val="16"/>
        <w:numPr>
          <w:ilvl w:val="0"/>
          <w:numId w:val="1"/>
        </w:numPr>
        <w:spacing w:after="80"/>
      </w:pPr>
      <w:r>
        <w:rPr>
          <w:rFonts w:ascii="Arial" w:hAnsi="Arial" w:eastAsia="Arial" w:cs="Arial"/>
          <w:color w:val="2C2C2C"/>
          <w:sz w:val="21"/>
          <w:szCs w:val="21"/>
        </w:rPr>
        <w:t>Conducting internal research to develop new service offerings</w:t>
      </w:r>
    </w:p>
    <w:p w14:paraId="233B33E7">
      <w:pPr>
        <w:pStyle w:val="16"/>
        <w:numPr>
          <w:ilvl w:val="0"/>
          <w:numId w:val="1"/>
        </w:numPr>
        <w:spacing w:after="80"/>
      </w:pPr>
      <w:r>
        <w:rPr>
          <w:rFonts w:ascii="Arial" w:hAnsi="Arial" w:eastAsia="Arial" w:cs="Arial"/>
          <w:color w:val="2C2C2C"/>
          <w:sz w:val="21"/>
          <w:szCs w:val="21"/>
        </w:rPr>
        <w:t>Generating aggregated and anonymised reports for business intelligence</w:t>
      </w:r>
    </w:p>
    <w:p w14:paraId="06F91951">
      <w:pPr>
        <w:pStyle w:val="3"/>
        <w:spacing w:before="280" w:after="100"/>
      </w:pPr>
      <w:r>
        <w:rPr>
          <w:rFonts w:ascii="Arial" w:hAnsi="Arial" w:eastAsia="Arial" w:cs="Arial"/>
          <w:b/>
          <w:bCs/>
          <w:color w:val="1A1A1A"/>
          <w:sz w:val="24"/>
          <w:szCs w:val="24"/>
        </w:rPr>
        <w:t>3.2 Legal Basis for Each Processing Activity</w:t>
      </w:r>
    </w:p>
    <w:p w14:paraId="36B1C3A7">
      <w:pPr>
        <w:spacing w:after="120"/>
        <w:jc w:val="both"/>
      </w:pPr>
      <w:r>
        <w:rPr>
          <w:rFonts w:ascii="Arial" w:hAnsi="Arial" w:eastAsia="Arial" w:cs="Arial"/>
          <w:color w:val="2C2C2C"/>
          <w:sz w:val="21"/>
          <w:szCs w:val="21"/>
        </w:rPr>
        <w:t>The following legal bases apply to YUGM AI’s processing activities:</w:t>
      </w:r>
    </w:p>
    <w:p w14:paraId="766286A5">
      <w:pPr>
        <w:pStyle w:val="16"/>
        <w:numPr>
          <w:ilvl w:val="0"/>
          <w:numId w:val="1"/>
        </w:numPr>
        <w:spacing w:after="80"/>
      </w:pPr>
      <w:r>
        <w:rPr>
          <w:rFonts w:ascii="Arial" w:hAnsi="Arial" w:eastAsia="Arial" w:cs="Arial"/>
          <w:b/>
          <w:bCs/>
          <w:color w:val="1A1A1A"/>
          <w:sz w:val="21"/>
          <w:szCs w:val="21"/>
        </w:rPr>
        <w:t xml:space="preserve">Contract Performance (Article 6(1)(b) GDPR / DPDP Act): </w:t>
      </w:r>
      <w:r>
        <w:rPr>
          <w:rFonts w:ascii="Arial" w:hAnsi="Arial" w:eastAsia="Arial" w:cs="Arial"/>
          <w:color w:val="2C2C2C"/>
          <w:sz w:val="21"/>
          <w:szCs w:val="21"/>
        </w:rPr>
        <w:t>Processing necessary to fulfil obligations under Contributor Agreements, Vendor Agreements, and Client Service Contracts</w:t>
      </w:r>
    </w:p>
    <w:p w14:paraId="510EC384">
      <w:pPr>
        <w:pStyle w:val="16"/>
        <w:numPr>
          <w:ilvl w:val="0"/>
          <w:numId w:val="1"/>
        </w:numPr>
        <w:spacing w:after="80"/>
      </w:pPr>
      <w:r>
        <w:rPr>
          <w:rFonts w:ascii="Arial" w:hAnsi="Arial" w:eastAsia="Arial" w:cs="Arial"/>
          <w:b/>
          <w:bCs/>
          <w:color w:val="1A1A1A"/>
          <w:sz w:val="21"/>
          <w:szCs w:val="21"/>
        </w:rPr>
        <w:t xml:space="preserve">Legal Obligation (Article 6(1)(c) GDPR / DPDP Act): </w:t>
      </w:r>
      <w:r>
        <w:rPr>
          <w:rFonts w:ascii="Arial" w:hAnsi="Arial" w:eastAsia="Arial" w:cs="Arial"/>
          <w:color w:val="2C2C2C"/>
          <w:sz w:val="21"/>
          <w:szCs w:val="21"/>
        </w:rPr>
        <w:t>Processing required to comply with applicable laws including tax regulations, anti-money laundering requirements, and government orders</w:t>
      </w:r>
    </w:p>
    <w:p w14:paraId="2F829A1F">
      <w:pPr>
        <w:pStyle w:val="16"/>
        <w:numPr>
          <w:ilvl w:val="0"/>
          <w:numId w:val="1"/>
        </w:numPr>
        <w:spacing w:after="80"/>
      </w:pPr>
      <w:r>
        <w:rPr>
          <w:rFonts w:ascii="Arial" w:hAnsi="Arial" w:eastAsia="Arial" w:cs="Arial"/>
          <w:b/>
          <w:bCs/>
          <w:color w:val="1A1A1A"/>
          <w:sz w:val="21"/>
          <w:szCs w:val="21"/>
        </w:rPr>
        <w:t xml:space="preserve">Legitimate Interests (Article 6(1)(f) GDPR / DPDP Act): </w:t>
      </w:r>
      <w:r>
        <w:rPr>
          <w:rFonts w:ascii="Arial" w:hAnsi="Arial" w:eastAsia="Arial" w:cs="Arial"/>
          <w:color w:val="2C2C2C"/>
          <w:sz w:val="21"/>
          <w:szCs w:val="21"/>
        </w:rPr>
        <w:t>Processing for fraud prevention, platform security, quality assurance, and business analytics where our interests do not override your fundamental rights</w:t>
      </w:r>
    </w:p>
    <w:p w14:paraId="0C60CF21">
      <w:pPr>
        <w:pStyle w:val="16"/>
        <w:numPr>
          <w:ilvl w:val="0"/>
          <w:numId w:val="1"/>
        </w:numPr>
        <w:spacing w:after="80"/>
      </w:pPr>
      <w:r>
        <w:rPr>
          <w:rFonts w:ascii="Arial" w:hAnsi="Arial" w:eastAsia="Arial" w:cs="Arial"/>
          <w:b/>
          <w:bCs/>
          <w:color w:val="1A1A1A"/>
          <w:sz w:val="21"/>
          <w:szCs w:val="21"/>
        </w:rPr>
        <w:t xml:space="preserve">Consent (Article 6(1)(a) GDPR / DPDP Act): </w:t>
      </w:r>
      <w:r>
        <w:rPr>
          <w:rFonts w:ascii="Arial" w:hAnsi="Arial" w:eastAsia="Arial" w:cs="Arial"/>
          <w:color w:val="2C2C2C"/>
          <w:sz w:val="21"/>
          <w:szCs w:val="21"/>
        </w:rPr>
        <w:t>Processing of sensitive data including voice recordings, biometric data, and optional marketing communications, where you have provided explicit and informed consent</w:t>
      </w:r>
    </w:p>
    <w:p w14:paraId="04D528E6">
      <w:pPr>
        <w:spacing w:after="120"/>
        <w:jc w:val="both"/>
      </w:pPr>
      <w:r>
        <w:rPr>
          <w:rFonts w:ascii="Arial" w:hAnsi="Arial" w:eastAsia="Arial" w:cs="Arial"/>
          <w:color w:val="2C2C2C"/>
          <w:sz w:val="21"/>
          <w:szCs w:val="21"/>
        </w:rPr>
        <w:t>Where consent is the legal basis, you have the right to withdraw it at any time without penalty. Withdrawal of consent does not affect the lawfulness of processing carried out prior to withdrawal.</w:t>
      </w:r>
    </w:p>
    <w:p w14:paraId="71E22843">
      <w:pPr>
        <w:pBdr>
          <w:bottom w:val="single" w:color="DDDDDD" w:sz="2" w:space="4"/>
        </w:pBdr>
        <w:spacing w:before="160" w:after="160"/>
      </w:pPr>
    </w:p>
    <w:p w14:paraId="3B5A8026">
      <w:pPr>
        <w:pStyle w:val="2"/>
        <w:pBdr>
          <w:bottom w:val="single" w:color="1A56A0" w:sz="8" w:space="6"/>
        </w:pBdr>
        <w:spacing w:before="400" w:after="160"/>
      </w:pPr>
      <w:r>
        <w:rPr>
          <w:rFonts w:ascii="Arial" w:hAnsi="Arial" w:eastAsia="Arial" w:cs="Arial"/>
          <w:b/>
          <w:bCs/>
          <w:color w:val="1A56A0"/>
          <w:sz w:val="30"/>
          <w:szCs w:val="30"/>
        </w:rPr>
        <w:t>SECTION 4: CONTRIBUTOR-SPECIFIC PROVISIONS</w:t>
      </w:r>
    </w:p>
    <w:p w14:paraId="37789BBF">
      <w:pPr>
        <w:pBdr>
          <w:left w:val="single" w:color="1A56A0" w:sz="12" w:space="12"/>
        </w:pBdr>
        <w:spacing w:before="120" w:after="120"/>
        <w:ind w:left="720"/>
      </w:pPr>
      <w:r>
        <w:rPr>
          <w:rFonts w:ascii="Arial" w:hAnsi="Arial" w:eastAsia="Arial" w:cs="Arial"/>
          <w:i/>
          <w:iCs/>
          <w:color w:val="1A56A0"/>
          <w:sz w:val="20"/>
          <w:szCs w:val="20"/>
        </w:rPr>
        <w:t>This section applies specifically to freelancers, individual contributors, and any person who registers on the YUGM AI platform to participate in data collection, annotation, transcription, or quality review projects.</w:t>
      </w:r>
    </w:p>
    <w:p w14:paraId="667905C1">
      <w:pPr>
        <w:pStyle w:val="3"/>
        <w:spacing w:before="280" w:after="100"/>
      </w:pPr>
      <w:r>
        <w:rPr>
          <w:rFonts w:ascii="Arial" w:hAnsi="Arial" w:eastAsia="Arial" w:cs="Arial"/>
          <w:b/>
          <w:bCs/>
          <w:color w:val="1A1A1A"/>
          <w:sz w:val="24"/>
          <w:szCs w:val="24"/>
        </w:rPr>
        <w:t>4.1 Data Collected from Contributors</w:t>
      </w:r>
    </w:p>
    <w:p w14:paraId="0178EE73">
      <w:pPr>
        <w:spacing w:after="120"/>
        <w:jc w:val="both"/>
      </w:pPr>
      <w:r>
        <w:rPr>
          <w:rFonts w:ascii="Arial" w:hAnsi="Arial" w:eastAsia="Arial" w:cs="Arial"/>
          <w:color w:val="2C2C2C"/>
          <w:sz w:val="21"/>
          <w:szCs w:val="21"/>
        </w:rPr>
        <w:t>In addition to the general data categories described in Section 2, YUGM AI collects the following data specifically in relation to contributors:</w:t>
      </w:r>
    </w:p>
    <w:p w14:paraId="1923BC9D">
      <w:pPr>
        <w:spacing w:before="200" w:after="80"/>
      </w:pPr>
      <w:r>
        <w:rPr>
          <w:rFonts w:ascii="Arial" w:hAnsi="Arial" w:eastAsia="Arial" w:cs="Arial"/>
          <w:b/>
          <w:bCs/>
          <w:color w:val="1A56A0"/>
          <w:sz w:val="22"/>
          <w:szCs w:val="22"/>
        </w:rPr>
        <w:t>4.1.1 Onboarding and Verification Data</w:t>
      </w:r>
    </w:p>
    <w:p w14:paraId="020E3CC0">
      <w:pPr>
        <w:pStyle w:val="16"/>
        <w:numPr>
          <w:ilvl w:val="0"/>
          <w:numId w:val="1"/>
        </w:numPr>
        <w:spacing w:after="80"/>
      </w:pPr>
      <w:r>
        <w:rPr>
          <w:rFonts w:ascii="Arial" w:hAnsi="Arial" w:eastAsia="Arial" w:cs="Arial"/>
          <w:color w:val="2C2C2C"/>
          <w:sz w:val="21"/>
          <w:szCs w:val="21"/>
        </w:rPr>
        <w:t>Government-issued photo identification (PAN card, Aadhaar, or passport) for KYC compliance</w:t>
      </w:r>
    </w:p>
    <w:p w14:paraId="1E970BF0">
      <w:pPr>
        <w:pStyle w:val="16"/>
        <w:numPr>
          <w:ilvl w:val="0"/>
          <w:numId w:val="1"/>
        </w:numPr>
        <w:spacing w:after="80"/>
      </w:pPr>
      <w:r>
        <w:rPr>
          <w:rFonts w:ascii="Arial" w:hAnsi="Arial" w:eastAsia="Arial" w:cs="Arial"/>
          <w:color w:val="2C2C2C"/>
          <w:sz w:val="21"/>
          <w:szCs w:val="21"/>
        </w:rPr>
        <w:t>Date of birth to verify that the contributor is at least 18 years of age</w:t>
      </w:r>
    </w:p>
    <w:p w14:paraId="7B0ED822">
      <w:pPr>
        <w:pStyle w:val="16"/>
        <w:numPr>
          <w:ilvl w:val="0"/>
          <w:numId w:val="1"/>
        </w:numPr>
        <w:spacing w:after="80"/>
      </w:pPr>
      <w:r>
        <w:rPr>
          <w:rFonts w:ascii="Arial" w:hAnsi="Arial" w:eastAsia="Arial" w:cs="Arial"/>
          <w:color w:val="2C2C2C"/>
          <w:sz w:val="21"/>
          <w:szCs w:val="21"/>
        </w:rPr>
        <w:t>Language proficiency assessments, test recordings, or qualification certificates</w:t>
      </w:r>
    </w:p>
    <w:p w14:paraId="24FFA280">
      <w:pPr>
        <w:pStyle w:val="16"/>
        <w:numPr>
          <w:ilvl w:val="0"/>
          <w:numId w:val="1"/>
        </w:numPr>
        <w:spacing w:after="80"/>
      </w:pPr>
      <w:r>
        <w:rPr>
          <w:rFonts w:ascii="Arial" w:hAnsi="Arial" w:eastAsia="Arial" w:cs="Arial"/>
          <w:color w:val="2C2C2C"/>
          <w:sz w:val="21"/>
          <w:szCs w:val="21"/>
        </w:rPr>
        <w:t>Bank account or UPI details and tax identification numbers for payment processing</w:t>
      </w:r>
    </w:p>
    <w:p w14:paraId="219FB81B">
      <w:pPr>
        <w:pStyle w:val="16"/>
        <w:numPr>
          <w:ilvl w:val="0"/>
          <w:numId w:val="1"/>
        </w:numPr>
        <w:spacing w:after="80"/>
      </w:pPr>
      <w:r>
        <w:rPr>
          <w:rFonts w:ascii="Arial" w:hAnsi="Arial" w:eastAsia="Arial" w:cs="Arial"/>
          <w:color w:val="2C2C2C"/>
          <w:sz w:val="21"/>
          <w:szCs w:val="21"/>
        </w:rPr>
        <w:t>Completed onboarding forms, task guidelines acknowledgements, and project-specific consent forms</w:t>
      </w:r>
    </w:p>
    <w:p w14:paraId="1B982D7D">
      <w:pPr>
        <w:spacing w:before="200" w:after="80"/>
      </w:pPr>
      <w:r>
        <w:rPr>
          <w:rFonts w:ascii="Arial" w:hAnsi="Arial" w:eastAsia="Arial" w:cs="Arial"/>
          <w:b/>
          <w:bCs/>
          <w:color w:val="1A56A0"/>
          <w:sz w:val="22"/>
          <w:szCs w:val="22"/>
        </w:rPr>
        <w:t>4.1.2 Performance and Activity Data</w:t>
      </w:r>
    </w:p>
    <w:p w14:paraId="2BAB1804">
      <w:pPr>
        <w:pStyle w:val="16"/>
        <w:numPr>
          <w:ilvl w:val="0"/>
          <w:numId w:val="1"/>
        </w:numPr>
        <w:spacing w:after="80"/>
      </w:pPr>
      <w:r>
        <w:rPr>
          <w:rFonts w:ascii="Arial" w:hAnsi="Arial" w:eastAsia="Arial" w:cs="Arial"/>
          <w:color w:val="2C2C2C"/>
          <w:sz w:val="21"/>
          <w:szCs w:val="21"/>
        </w:rPr>
        <w:t>Number of tasks completed, acceptance rate, rejection rate, and quality scores</w:t>
      </w:r>
    </w:p>
    <w:p w14:paraId="6EBA77CF">
      <w:pPr>
        <w:pStyle w:val="16"/>
        <w:numPr>
          <w:ilvl w:val="0"/>
          <w:numId w:val="1"/>
        </w:numPr>
        <w:spacing w:after="80"/>
      </w:pPr>
      <w:r>
        <w:rPr>
          <w:rFonts w:ascii="Arial" w:hAnsi="Arial" w:eastAsia="Arial" w:cs="Arial"/>
          <w:color w:val="2C2C2C"/>
          <w:sz w:val="21"/>
          <w:szCs w:val="21"/>
        </w:rPr>
        <w:t>Time spent on tasks and submission timestamps</w:t>
      </w:r>
    </w:p>
    <w:p w14:paraId="0ACFD792">
      <w:pPr>
        <w:pStyle w:val="16"/>
        <w:numPr>
          <w:ilvl w:val="0"/>
          <w:numId w:val="1"/>
        </w:numPr>
        <w:spacing w:after="80"/>
      </w:pPr>
      <w:r>
        <w:rPr>
          <w:rFonts w:ascii="Arial" w:hAnsi="Arial" w:eastAsia="Arial" w:cs="Arial"/>
          <w:color w:val="2C2C2C"/>
          <w:sz w:val="21"/>
          <w:szCs w:val="21"/>
        </w:rPr>
        <w:t>Reviewer feedback, escalations, and corrective instructions</w:t>
      </w:r>
    </w:p>
    <w:p w14:paraId="50AA8D85">
      <w:pPr>
        <w:pStyle w:val="16"/>
        <w:numPr>
          <w:ilvl w:val="0"/>
          <w:numId w:val="1"/>
        </w:numPr>
        <w:spacing w:after="80"/>
      </w:pPr>
      <w:r>
        <w:rPr>
          <w:rFonts w:ascii="Arial" w:hAnsi="Arial" w:eastAsia="Arial" w:cs="Arial"/>
          <w:color w:val="2C2C2C"/>
          <w:sz w:val="21"/>
          <w:szCs w:val="21"/>
        </w:rPr>
        <w:t>Participation history across projects and languages</w:t>
      </w:r>
    </w:p>
    <w:p w14:paraId="6FCA084A">
      <w:pPr>
        <w:spacing w:before="200" w:after="80"/>
      </w:pPr>
      <w:r>
        <w:rPr>
          <w:rFonts w:ascii="Arial" w:hAnsi="Arial" w:eastAsia="Arial" w:cs="Arial"/>
          <w:b/>
          <w:bCs/>
          <w:color w:val="1A56A0"/>
          <w:sz w:val="22"/>
          <w:szCs w:val="22"/>
        </w:rPr>
        <w:t>4.1.3 Project Deliverables</w:t>
      </w:r>
    </w:p>
    <w:p w14:paraId="1D47E435">
      <w:pPr>
        <w:pStyle w:val="16"/>
        <w:numPr>
          <w:ilvl w:val="0"/>
          <w:numId w:val="1"/>
        </w:numPr>
        <w:spacing w:after="80"/>
      </w:pPr>
      <w:r>
        <w:rPr>
          <w:rFonts w:ascii="Arial" w:hAnsi="Arial" w:eastAsia="Arial" w:cs="Arial"/>
          <w:color w:val="2C2C2C"/>
          <w:sz w:val="21"/>
          <w:szCs w:val="21"/>
        </w:rPr>
        <w:t>Voice and speech recordings (scripted and unscripted) submitted for ASR and conversational AI training</w:t>
      </w:r>
    </w:p>
    <w:p w14:paraId="25D1A56C">
      <w:pPr>
        <w:pStyle w:val="16"/>
        <w:numPr>
          <w:ilvl w:val="0"/>
          <w:numId w:val="1"/>
        </w:numPr>
        <w:spacing w:after="80"/>
      </w:pPr>
      <w:r>
        <w:rPr>
          <w:rFonts w:ascii="Arial" w:hAnsi="Arial" w:eastAsia="Arial" w:cs="Arial"/>
          <w:color w:val="2C2C2C"/>
          <w:sz w:val="21"/>
          <w:szCs w:val="21"/>
        </w:rPr>
        <w:t>Audio files, labelled datasets, and annotated media submitted under project instructions</w:t>
      </w:r>
    </w:p>
    <w:p w14:paraId="3BCCE52B">
      <w:pPr>
        <w:pStyle w:val="16"/>
        <w:numPr>
          <w:ilvl w:val="0"/>
          <w:numId w:val="1"/>
        </w:numPr>
        <w:spacing w:after="80"/>
      </w:pPr>
      <w:r>
        <w:rPr>
          <w:rFonts w:ascii="Arial" w:hAnsi="Arial" w:eastAsia="Arial" w:cs="Arial"/>
          <w:color w:val="2C2C2C"/>
          <w:sz w:val="21"/>
          <w:szCs w:val="21"/>
        </w:rPr>
        <w:t>Written transcripts and timestamped outputs</w:t>
      </w:r>
    </w:p>
    <w:p w14:paraId="6FC5EF99">
      <w:pPr>
        <w:pStyle w:val="16"/>
        <w:numPr>
          <w:ilvl w:val="0"/>
          <w:numId w:val="1"/>
        </w:numPr>
        <w:spacing w:after="80"/>
      </w:pPr>
      <w:r>
        <w:rPr>
          <w:rFonts w:ascii="Arial" w:hAnsi="Arial" w:eastAsia="Arial" w:cs="Arial"/>
          <w:color w:val="2C2C2C"/>
          <w:sz w:val="21"/>
          <w:szCs w:val="21"/>
        </w:rPr>
        <w:t>Quality review decisions and annotation outputs</w:t>
      </w:r>
    </w:p>
    <w:p w14:paraId="52731C52">
      <w:pPr>
        <w:pStyle w:val="3"/>
        <w:spacing w:before="280" w:after="100"/>
      </w:pPr>
      <w:r>
        <w:rPr>
          <w:rFonts w:ascii="Arial" w:hAnsi="Arial" w:eastAsia="Arial" w:cs="Arial"/>
          <w:b/>
          <w:bCs/>
          <w:color w:val="1A1A1A"/>
          <w:sz w:val="24"/>
          <w:szCs w:val="24"/>
        </w:rPr>
        <w:t>4.2 Consent for Voice and Biometric Data</w:t>
      </w:r>
    </w:p>
    <w:p w14:paraId="3773D39F">
      <w:pPr>
        <w:spacing w:after="120"/>
        <w:jc w:val="both"/>
      </w:pPr>
      <w:r>
        <w:rPr>
          <w:rFonts w:ascii="Arial" w:hAnsi="Arial" w:eastAsia="Arial" w:cs="Arial"/>
          <w:color w:val="2C2C2C"/>
          <w:sz w:val="21"/>
          <w:szCs w:val="21"/>
        </w:rPr>
        <w:t>Contributors who participate in speech recording, voice collection, or any project involving biometric data are required to provide explicit, written consent prior to any data submission. This consent:</w:t>
      </w:r>
    </w:p>
    <w:p w14:paraId="0778C0CC">
      <w:pPr>
        <w:pStyle w:val="16"/>
        <w:numPr>
          <w:ilvl w:val="0"/>
          <w:numId w:val="1"/>
        </w:numPr>
        <w:spacing w:after="80"/>
      </w:pPr>
      <w:r>
        <w:rPr>
          <w:rFonts w:ascii="Arial" w:hAnsi="Arial" w:eastAsia="Arial" w:cs="Arial"/>
          <w:color w:val="2C2C2C"/>
          <w:sz w:val="21"/>
          <w:szCs w:val="21"/>
        </w:rPr>
        <w:t>Clearly identifies the purpose of the recording (AI training and model development)</w:t>
      </w:r>
    </w:p>
    <w:p w14:paraId="68BF919F">
      <w:pPr>
        <w:pStyle w:val="16"/>
        <w:numPr>
          <w:ilvl w:val="0"/>
          <w:numId w:val="1"/>
        </w:numPr>
        <w:spacing w:after="80"/>
      </w:pPr>
      <w:r>
        <w:rPr>
          <w:rFonts w:ascii="Arial" w:hAnsi="Arial" w:eastAsia="Arial" w:cs="Arial"/>
          <w:color w:val="2C2C2C"/>
          <w:sz w:val="21"/>
          <w:szCs w:val="21"/>
        </w:rPr>
        <w:t>Specifies the client category to which the data will be delivered (without necessarily disclosing client identity)</w:t>
      </w:r>
    </w:p>
    <w:p w14:paraId="1D778E47">
      <w:pPr>
        <w:pStyle w:val="16"/>
        <w:numPr>
          <w:ilvl w:val="0"/>
          <w:numId w:val="1"/>
        </w:numPr>
        <w:spacing w:after="80"/>
      </w:pPr>
      <w:r>
        <w:rPr>
          <w:rFonts w:ascii="Arial" w:hAnsi="Arial" w:eastAsia="Arial" w:cs="Arial"/>
          <w:color w:val="2C2C2C"/>
          <w:sz w:val="21"/>
          <w:szCs w:val="21"/>
        </w:rPr>
        <w:t>Discloses whether the recording will be linked to personal identity or anonymised</w:t>
      </w:r>
    </w:p>
    <w:p w14:paraId="5A240EA2">
      <w:pPr>
        <w:pStyle w:val="16"/>
        <w:numPr>
          <w:ilvl w:val="0"/>
          <w:numId w:val="1"/>
        </w:numPr>
        <w:spacing w:after="80"/>
      </w:pPr>
      <w:r>
        <w:rPr>
          <w:rFonts w:ascii="Arial" w:hAnsi="Arial" w:eastAsia="Arial" w:cs="Arial"/>
          <w:color w:val="2C2C2C"/>
          <w:sz w:val="21"/>
          <w:szCs w:val="21"/>
        </w:rPr>
        <w:t>Confirms that contributors are participating voluntarily and may withdraw from the project without penalty</w:t>
      </w:r>
    </w:p>
    <w:p w14:paraId="505653EB">
      <w:pPr>
        <w:spacing w:after="120"/>
        <w:jc w:val="both"/>
      </w:pPr>
      <w:r>
        <w:rPr>
          <w:rFonts w:ascii="Arial" w:hAnsi="Arial" w:eastAsia="Arial" w:cs="Arial"/>
          <w:color w:val="2C2C2C"/>
          <w:sz w:val="21"/>
          <w:szCs w:val="21"/>
        </w:rPr>
        <w:t>Consent for voice data is project-specific. Participation in one voice project does not imply consent for all future projects. Consent is re-obtained for each new project type.</w:t>
      </w:r>
    </w:p>
    <w:p w14:paraId="2257FC67">
      <w:pPr>
        <w:pStyle w:val="3"/>
        <w:spacing w:before="280" w:after="100"/>
      </w:pPr>
      <w:r>
        <w:rPr>
          <w:rFonts w:ascii="Arial" w:hAnsi="Arial" w:eastAsia="Arial" w:cs="Arial"/>
          <w:b/>
          <w:bCs/>
          <w:color w:val="1A1A1A"/>
          <w:sz w:val="24"/>
          <w:szCs w:val="24"/>
        </w:rPr>
        <w:t>4.3 How Contributor Data is Used</w:t>
      </w:r>
    </w:p>
    <w:p w14:paraId="02E7A834">
      <w:pPr>
        <w:pStyle w:val="16"/>
        <w:numPr>
          <w:ilvl w:val="0"/>
          <w:numId w:val="1"/>
        </w:numPr>
        <w:spacing w:after="80"/>
      </w:pPr>
      <w:r>
        <w:rPr>
          <w:rFonts w:ascii="Arial" w:hAnsi="Arial" w:eastAsia="Arial" w:cs="Arial"/>
          <w:color w:val="2C2C2C"/>
          <w:sz w:val="21"/>
          <w:szCs w:val="21"/>
        </w:rPr>
        <w:t>Project matching based on language qualifications and skill assessments</w:t>
      </w:r>
    </w:p>
    <w:p w14:paraId="3088F799">
      <w:pPr>
        <w:pStyle w:val="16"/>
        <w:numPr>
          <w:ilvl w:val="0"/>
          <w:numId w:val="1"/>
        </w:numPr>
        <w:spacing w:after="80"/>
      </w:pPr>
      <w:r>
        <w:rPr>
          <w:rFonts w:ascii="Arial" w:hAnsi="Arial" w:eastAsia="Arial" w:cs="Arial"/>
          <w:color w:val="2C2C2C"/>
          <w:sz w:val="21"/>
          <w:szCs w:val="21"/>
        </w:rPr>
        <w:t>Delivery of work output to the commissioning client as part of the contracted dataset</w:t>
      </w:r>
    </w:p>
    <w:p w14:paraId="419B3294">
      <w:pPr>
        <w:pStyle w:val="16"/>
        <w:numPr>
          <w:ilvl w:val="0"/>
          <w:numId w:val="1"/>
        </w:numPr>
        <w:spacing w:after="80"/>
      </w:pPr>
      <w:r>
        <w:rPr>
          <w:rFonts w:ascii="Arial" w:hAnsi="Arial" w:eastAsia="Arial" w:cs="Arial"/>
          <w:color w:val="2C2C2C"/>
          <w:sz w:val="21"/>
          <w:szCs w:val="21"/>
        </w:rPr>
        <w:t>Payment processing and tax reporting</w:t>
      </w:r>
    </w:p>
    <w:p w14:paraId="7C2609C5">
      <w:pPr>
        <w:pStyle w:val="16"/>
        <w:numPr>
          <w:ilvl w:val="0"/>
          <w:numId w:val="1"/>
        </w:numPr>
        <w:spacing w:after="80"/>
      </w:pPr>
      <w:r>
        <w:rPr>
          <w:rFonts w:ascii="Arial" w:hAnsi="Arial" w:eastAsia="Arial" w:cs="Arial"/>
          <w:color w:val="2C2C2C"/>
          <w:sz w:val="21"/>
          <w:szCs w:val="21"/>
        </w:rPr>
        <w:t>Performance monitoring and quality improvement feedback</w:t>
      </w:r>
    </w:p>
    <w:p w14:paraId="0754F37D">
      <w:pPr>
        <w:pStyle w:val="16"/>
        <w:numPr>
          <w:ilvl w:val="0"/>
          <w:numId w:val="1"/>
        </w:numPr>
        <w:spacing w:after="80"/>
      </w:pPr>
      <w:r>
        <w:rPr>
          <w:rFonts w:ascii="Arial" w:hAnsi="Arial" w:eastAsia="Arial" w:cs="Arial"/>
          <w:color w:val="2C2C2C"/>
          <w:sz w:val="21"/>
          <w:szCs w:val="21"/>
        </w:rPr>
        <w:t>Internal reporting on contributor pool capabilities</w:t>
      </w:r>
    </w:p>
    <w:p w14:paraId="34F5CFCB">
      <w:pPr>
        <w:spacing w:after="120"/>
        <w:jc w:val="both"/>
      </w:pPr>
      <w:r>
        <w:rPr>
          <w:rFonts w:ascii="Arial" w:hAnsi="Arial" w:eastAsia="Arial" w:cs="Arial"/>
          <w:color w:val="2C2C2C"/>
          <w:sz w:val="21"/>
          <w:szCs w:val="21"/>
        </w:rPr>
        <w:t>YUGM AI does not use contributor data for advertising, profiling for non-project purposes, or sale to third parties under any circumstances.</w:t>
      </w:r>
    </w:p>
    <w:p w14:paraId="1DA9A99C">
      <w:pPr>
        <w:pStyle w:val="3"/>
        <w:spacing w:before="280" w:after="100"/>
      </w:pPr>
      <w:r>
        <w:rPr>
          <w:rFonts w:ascii="Arial" w:hAnsi="Arial" w:eastAsia="Arial" w:cs="Arial"/>
          <w:b/>
          <w:bCs/>
          <w:color w:val="1A1A1A"/>
          <w:sz w:val="24"/>
          <w:szCs w:val="24"/>
        </w:rPr>
        <w:t>4.4 Contributor Rights and Restrictions</w:t>
      </w:r>
    </w:p>
    <w:p w14:paraId="524A2013">
      <w:pPr>
        <w:spacing w:after="120"/>
        <w:jc w:val="both"/>
      </w:pPr>
      <w:r>
        <w:rPr>
          <w:rFonts w:ascii="Arial" w:hAnsi="Arial" w:eastAsia="Arial" w:cs="Arial"/>
          <w:color w:val="2C2C2C"/>
          <w:sz w:val="21"/>
          <w:szCs w:val="21"/>
        </w:rPr>
        <w:t>Contributors acknowledge the following in relation to their submitted work:</w:t>
      </w:r>
    </w:p>
    <w:p w14:paraId="160F8CB1">
      <w:pPr>
        <w:pStyle w:val="16"/>
        <w:numPr>
          <w:ilvl w:val="0"/>
          <w:numId w:val="1"/>
        </w:numPr>
        <w:spacing w:after="80"/>
      </w:pPr>
      <w:r>
        <w:rPr>
          <w:rFonts w:ascii="Arial" w:hAnsi="Arial" w:eastAsia="Arial" w:cs="Arial"/>
          <w:color w:val="2C2C2C"/>
          <w:sz w:val="21"/>
          <w:szCs w:val="21"/>
        </w:rPr>
        <w:t>Work output submitted and approved becomes part of a deliverable dataset provided to the client and cannot be recalled after delivery</w:t>
      </w:r>
    </w:p>
    <w:p w14:paraId="3A104034">
      <w:pPr>
        <w:pStyle w:val="16"/>
        <w:numPr>
          <w:ilvl w:val="0"/>
          <w:numId w:val="1"/>
        </w:numPr>
        <w:spacing w:after="80"/>
      </w:pPr>
      <w:r>
        <w:rPr>
          <w:rFonts w:ascii="Arial" w:hAnsi="Arial" w:eastAsia="Arial" w:cs="Arial"/>
          <w:color w:val="2C2C2C"/>
          <w:sz w:val="21"/>
          <w:szCs w:val="21"/>
        </w:rPr>
        <w:t>Voice recordings and annotations submitted under a project agreement are the property of the commissioning client upon delivery, as specified in the project terms</w:t>
      </w:r>
    </w:p>
    <w:p w14:paraId="213D2D77">
      <w:pPr>
        <w:pStyle w:val="16"/>
        <w:numPr>
          <w:ilvl w:val="0"/>
          <w:numId w:val="1"/>
        </w:numPr>
        <w:spacing w:after="80"/>
      </w:pPr>
      <w:r>
        <w:rPr>
          <w:rFonts w:ascii="Arial" w:hAnsi="Arial" w:eastAsia="Arial" w:cs="Arial"/>
          <w:color w:val="2C2C2C"/>
          <w:sz w:val="21"/>
          <w:szCs w:val="21"/>
        </w:rPr>
        <w:t>Contributors may not share, replicate, or use submitted project data for any purpose outside of the project</w:t>
      </w:r>
    </w:p>
    <w:p w14:paraId="158E2194">
      <w:pPr>
        <w:pStyle w:val="16"/>
        <w:numPr>
          <w:ilvl w:val="0"/>
          <w:numId w:val="1"/>
        </w:numPr>
        <w:spacing w:after="80"/>
      </w:pPr>
      <w:r>
        <w:rPr>
          <w:rFonts w:ascii="Arial" w:hAnsi="Arial" w:eastAsia="Arial" w:cs="Arial"/>
          <w:color w:val="2C2C2C"/>
          <w:sz w:val="21"/>
          <w:szCs w:val="21"/>
        </w:rPr>
        <w:t>Contributors who delete their accounts may not retrieve previously submitted and approved work</w:t>
      </w:r>
    </w:p>
    <w:p w14:paraId="759A25C1">
      <w:pPr>
        <w:spacing w:after="120"/>
        <w:jc w:val="both"/>
      </w:pPr>
      <w:r>
        <w:rPr>
          <w:rFonts w:ascii="Arial" w:hAnsi="Arial" w:eastAsia="Arial" w:cs="Arial"/>
          <w:color w:val="2C2C2C"/>
          <w:sz w:val="21"/>
          <w:szCs w:val="21"/>
        </w:rPr>
        <w:t>For personal data held on the platform (profile, payment details, identity documents), contributors retain full rights as described in Section 10.</w:t>
      </w:r>
    </w:p>
    <w:p w14:paraId="1438BF10">
      <w:pPr>
        <w:pStyle w:val="3"/>
        <w:spacing w:before="280" w:after="100"/>
      </w:pPr>
      <w:r>
        <w:rPr>
          <w:rFonts w:ascii="Arial" w:hAnsi="Arial" w:eastAsia="Arial" w:cs="Arial"/>
          <w:b/>
          <w:bCs/>
          <w:color w:val="1A1A1A"/>
          <w:sz w:val="24"/>
          <w:szCs w:val="24"/>
        </w:rPr>
        <w:t>4.5 Payment Data and Tax Compliance</w:t>
      </w:r>
    </w:p>
    <w:p w14:paraId="5DFC62A2">
      <w:pPr>
        <w:spacing w:after="120"/>
        <w:jc w:val="both"/>
      </w:pPr>
      <w:r>
        <w:rPr>
          <w:rFonts w:ascii="Arial" w:hAnsi="Arial" w:eastAsia="Arial" w:cs="Arial"/>
          <w:color w:val="2C2C2C"/>
          <w:sz w:val="21"/>
          <w:szCs w:val="21"/>
        </w:rPr>
        <w:t>YUGM AI collects and processes financial information from contributors strictly for the purpose of processing earnings. Specifically:</w:t>
      </w:r>
    </w:p>
    <w:p w14:paraId="204D73A4">
      <w:pPr>
        <w:pStyle w:val="16"/>
        <w:numPr>
          <w:ilvl w:val="0"/>
          <w:numId w:val="1"/>
        </w:numPr>
        <w:spacing w:after="80"/>
      </w:pPr>
      <w:r>
        <w:rPr>
          <w:rFonts w:ascii="Arial" w:hAnsi="Arial" w:eastAsia="Arial" w:cs="Arial"/>
          <w:color w:val="2C2C2C"/>
          <w:sz w:val="21"/>
          <w:szCs w:val="21"/>
        </w:rPr>
        <w:t>Bank account and UPI details are used only for payment transfers and are not shared with third parties beyond the payment processor</w:t>
      </w:r>
    </w:p>
    <w:p w14:paraId="7A033563">
      <w:pPr>
        <w:pStyle w:val="16"/>
        <w:numPr>
          <w:ilvl w:val="0"/>
          <w:numId w:val="1"/>
        </w:numPr>
        <w:spacing w:after="80"/>
      </w:pPr>
      <w:r>
        <w:rPr>
          <w:rFonts w:ascii="Arial" w:hAnsi="Arial" w:eastAsia="Arial" w:cs="Arial"/>
          <w:color w:val="2C2C2C"/>
          <w:sz w:val="21"/>
          <w:szCs w:val="21"/>
        </w:rPr>
        <w:t>PAN card information is used to comply with TDS (Tax Deducted at Source) obligations under the Income Tax Act, 1961</w:t>
      </w:r>
    </w:p>
    <w:p w14:paraId="4C6EF9AC">
      <w:pPr>
        <w:pStyle w:val="16"/>
        <w:numPr>
          <w:ilvl w:val="0"/>
          <w:numId w:val="1"/>
        </w:numPr>
        <w:spacing w:after="80"/>
      </w:pPr>
      <w:r>
        <w:rPr>
          <w:rFonts w:ascii="Arial" w:hAnsi="Arial" w:eastAsia="Arial" w:cs="Arial"/>
          <w:color w:val="2C2C2C"/>
          <w:sz w:val="21"/>
          <w:szCs w:val="21"/>
        </w:rPr>
        <w:t>Contributors earning above the threshold prescribed by the Income Tax Act will receive Form 16A or equivalent documentation</w:t>
      </w:r>
    </w:p>
    <w:p w14:paraId="0C663EC2">
      <w:pPr>
        <w:pStyle w:val="16"/>
        <w:numPr>
          <w:ilvl w:val="0"/>
          <w:numId w:val="1"/>
        </w:numPr>
        <w:spacing w:after="80"/>
      </w:pPr>
      <w:r>
        <w:rPr>
          <w:rFonts w:ascii="Arial" w:hAnsi="Arial" w:eastAsia="Arial" w:cs="Arial"/>
          <w:color w:val="2C2C2C"/>
          <w:sz w:val="21"/>
          <w:szCs w:val="21"/>
        </w:rPr>
        <w:t>Financial records are retained for a minimum of seven (7) years as required by Indian law</w:t>
      </w:r>
    </w:p>
    <w:p w14:paraId="1E978BFB">
      <w:pPr>
        <w:pBdr>
          <w:bottom w:val="single" w:color="DDDDDD" w:sz="2" w:space="4"/>
        </w:pBdr>
        <w:spacing w:before="160" w:after="160"/>
      </w:pPr>
    </w:p>
    <w:p w14:paraId="2A7125AF">
      <w:pPr>
        <w:pStyle w:val="2"/>
        <w:pBdr>
          <w:bottom w:val="single" w:color="1A56A0" w:sz="8" w:space="6"/>
        </w:pBdr>
        <w:spacing w:before="400" w:after="160"/>
      </w:pPr>
      <w:r>
        <w:rPr>
          <w:rFonts w:ascii="Arial" w:hAnsi="Arial" w:eastAsia="Arial" w:cs="Arial"/>
          <w:b/>
          <w:bCs/>
          <w:color w:val="1A56A0"/>
          <w:sz w:val="30"/>
          <w:szCs w:val="30"/>
        </w:rPr>
        <w:t>SECTION 5: VENDOR-SPECIFIC PROVISIONS</w:t>
      </w:r>
    </w:p>
    <w:p w14:paraId="59FF5C22">
      <w:pPr>
        <w:pBdr>
          <w:left w:val="single" w:color="1A56A0" w:sz="12" w:space="12"/>
        </w:pBdr>
        <w:spacing w:before="120" w:after="120"/>
        <w:ind w:left="720"/>
      </w:pPr>
      <w:r>
        <w:rPr>
          <w:rFonts w:ascii="Arial" w:hAnsi="Arial" w:eastAsia="Arial" w:cs="Arial"/>
          <w:i/>
          <w:iCs/>
          <w:color w:val="1A56A0"/>
          <w:sz w:val="20"/>
          <w:szCs w:val="20"/>
        </w:rPr>
        <w:t>This section applies to companies, agencies, or group coordinators who register as vendors on the YUGM AI platform and manage contributor teams for project delivery.</w:t>
      </w:r>
    </w:p>
    <w:p w14:paraId="29343437">
      <w:pPr>
        <w:pStyle w:val="3"/>
        <w:spacing w:before="280" w:after="100"/>
      </w:pPr>
      <w:r>
        <w:rPr>
          <w:rFonts w:ascii="Arial" w:hAnsi="Arial" w:eastAsia="Arial" w:cs="Arial"/>
          <w:b/>
          <w:bCs/>
          <w:color w:val="1A1A1A"/>
          <w:sz w:val="24"/>
          <w:szCs w:val="24"/>
        </w:rPr>
        <w:t>5.1 Data Collected from Vendors</w:t>
      </w:r>
    </w:p>
    <w:p w14:paraId="7A46FD2E">
      <w:pPr>
        <w:spacing w:after="120"/>
        <w:jc w:val="both"/>
      </w:pPr>
      <w:r>
        <w:rPr>
          <w:rFonts w:ascii="Arial" w:hAnsi="Arial" w:eastAsia="Arial" w:cs="Arial"/>
          <w:color w:val="2C2C2C"/>
          <w:sz w:val="21"/>
          <w:szCs w:val="21"/>
        </w:rPr>
        <w:t>In addition to general data, the following is collected from vendor entities:</w:t>
      </w:r>
    </w:p>
    <w:p w14:paraId="4DB7B903">
      <w:pPr>
        <w:pStyle w:val="16"/>
        <w:numPr>
          <w:ilvl w:val="0"/>
          <w:numId w:val="1"/>
        </w:numPr>
        <w:spacing w:after="80"/>
      </w:pPr>
      <w:r>
        <w:rPr>
          <w:rFonts w:ascii="Arial" w:hAnsi="Arial" w:eastAsia="Arial" w:cs="Arial"/>
          <w:color w:val="2C2C2C"/>
          <w:sz w:val="21"/>
          <w:szCs w:val="21"/>
        </w:rPr>
        <w:t>Company legal name, registration number, and registered business address</w:t>
      </w:r>
    </w:p>
    <w:p w14:paraId="2F82FD6F">
      <w:pPr>
        <w:pStyle w:val="16"/>
        <w:numPr>
          <w:ilvl w:val="0"/>
          <w:numId w:val="1"/>
        </w:numPr>
        <w:spacing w:after="80"/>
      </w:pPr>
      <w:r>
        <w:rPr>
          <w:rFonts w:ascii="Arial" w:hAnsi="Arial" w:eastAsia="Arial" w:cs="Arial"/>
          <w:color w:val="2C2C2C"/>
          <w:sz w:val="21"/>
          <w:szCs w:val="21"/>
        </w:rPr>
        <w:t>GST Identification Number (GSTIN) and other applicable tax registration details</w:t>
      </w:r>
    </w:p>
    <w:p w14:paraId="7AECA85C">
      <w:pPr>
        <w:pStyle w:val="16"/>
        <w:numPr>
          <w:ilvl w:val="0"/>
          <w:numId w:val="1"/>
        </w:numPr>
        <w:spacing w:after="80"/>
      </w:pPr>
      <w:r>
        <w:rPr>
          <w:rFonts w:ascii="Arial" w:hAnsi="Arial" w:eastAsia="Arial" w:cs="Arial"/>
          <w:color w:val="2C2C2C"/>
          <w:sz w:val="21"/>
          <w:szCs w:val="21"/>
        </w:rPr>
        <w:t>Authorised representative’s name, designation, email, and contact number</w:t>
      </w:r>
    </w:p>
    <w:p w14:paraId="0A3B5126">
      <w:pPr>
        <w:pStyle w:val="16"/>
        <w:numPr>
          <w:ilvl w:val="0"/>
          <w:numId w:val="1"/>
        </w:numPr>
        <w:spacing w:after="80"/>
      </w:pPr>
      <w:r>
        <w:rPr>
          <w:rFonts w:ascii="Arial" w:hAnsi="Arial" w:eastAsia="Arial" w:cs="Arial"/>
          <w:color w:val="2C2C2C"/>
          <w:sz w:val="21"/>
          <w:szCs w:val="21"/>
        </w:rPr>
        <w:t>Bank account details for invoice settlement and payments</w:t>
      </w:r>
    </w:p>
    <w:p w14:paraId="540DE267">
      <w:pPr>
        <w:pStyle w:val="16"/>
        <w:numPr>
          <w:ilvl w:val="0"/>
          <w:numId w:val="1"/>
        </w:numPr>
        <w:spacing w:after="80"/>
      </w:pPr>
      <w:r>
        <w:rPr>
          <w:rFonts w:ascii="Arial" w:hAnsi="Arial" w:eastAsia="Arial" w:cs="Arial"/>
          <w:color w:val="2C2C2C"/>
          <w:sz w:val="21"/>
          <w:szCs w:val="21"/>
        </w:rPr>
        <w:t>Signed Vendor Agreement and associated schedules</w:t>
      </w:r>
    </w:p>
    <w:p w14:paraId="62ACA7FB">
      <w:pPr>
        <w:pStyle w:val="16"/>
        <w:numPr>
          <w:ilvl w:val="0"/>
          <w:numId w:val="1"/>
        </w:numPr>
        <w:spacing w:after="80"/>
      </w:pPr>
      <w:r>
        <w:rPr>
          <w:rFonts w:ascii="Arial" w:hAnsi="Arial" w:eastAsia="Arial" w:cs="Arial"/>
          <w:color w:val="2C2C2C"/>
          <w:sz w:val="21"/>
          <w:szCs w:val="21"/>
        </w:rPr>
        <w:t>Contributor rosters submitted for projects, including contributor names and IDs</w:t>
      </w:r>
    </w:p>
    <w:p w14:paraId="329F2677">
      <w:pPr>
        <w:pStyle w:val="16"/>
        <w:numPr>
          <w:ilvl w:val="0"/>
          <w:numId w:val="1"/>
        </w:numPr>
        <w:spacing w:after="80"/>
      </w:pPr>
      <w:r>
        <w:rPr>
          <w:rFonts w:ascii="Arial" w:hAnsi="Arial" w:eastAsia="Arial" w:cs="Arial"/>
          <w:color w:val="2C2C2C"/>
          <w:sz w:val="21"/>
          <w:szCs w:val="21"/>
        </w:rPr>
        <w:t>Aggregated delivery performance metrics, submission volumes, and quality scores</w:t>
      </w:r>
    </w:p>
    <w:p w14:paraId="602547D2">
      <w:pPr>
        <w:pStyle w:val="3"/>
        <w:spacing w:before="280" w:after="100"/>
      </w:pPr>
      <w:r>
        <w:rPr>
          <w:rFonts w:ascii="Arial" w:hAnsi="Arial" w:eastAsia="Arial" w:cs="Arial"/>
          <w:b/>
          <w:bCs/>
          <w:color w:val="1A1A1A"/>
          <w:sz w:val="24"/>
          <w:szCs w:val="24"/>
        </w:rPr>
        <w:t>5.2 Vendor Responsibilities Regarding Contributor Data</w:t>
      </w:r>
    </w:p>
    <w:p w14:paraId="094D653A">
      <w:pPr>
        <w:spacing w:after="120"/>
        <w:jc w:val="both"/>
      </w:pPr>
      <w:r>
        <w:rPr>
          <w:rFonts w:ascii="Arial" w:hAnsi="Arial" w:eastAsia="Arial" w:cs="Arial"/>
          <w:color w:val="2C2C2C"/>
          <w:sz w:val="21"/>
          <w:szCs w:val="21"/>
        </w:rPr>
        <w:t>Vendors who recruit, manage, or coordinate individual contributors on behalf of YUGM AI accept the following obligations:</w:t>
      </w:r>
    </w:p>
    <w:p w14:paraId="33E9987C">
      <w:pPr>
        <w:pStyle w:val="16"/>
        <w:numPr>
          <w:ilvl w:val="0"/>
          <w:numId w:val="1"/>
        </w:numPr>
        <w:spacing w:after="80"/>
      </w:pPr>
      <w:r>
        <w:rPr>
          <w:rFonts w:ascii="Arial" w:hAnsi="Arial" w:eastAsia="Arial" w:cs="Arial"/>
          <w:b/>
          <w:bCs/>
          <w:color w:val="1A1A1A"/>
          <w:sz w:val="21"/>
          <w:szCs w:val="21"/>
        </w:rPr>
        <w:t xml:space="preserve">Consent Obligation: </w:t>
      </w:r>
      <w:r>
        <w:rPr>
          <w:rFonts w:ascii="Arial" w:hAnsi="Arial" w:eastAsia="Arial" w:cs="Arial"/>
          <w:color w:val="2C2C2C"/>
          <w:sz w:val="21"/>
          <w:szCs w:val="21"/>
        </w:rPr>
        <w:t>Vendors must ensure that each contributor under their management has been informed of and has consented to this Privacy Policy, the YUGM AI Contributor Agreement, and the specific data collection requirements of each project</w:t>
      </w:r>
    </w:p>
    <w:p w14:paraId="3817D7CE">
      <w:pPr>
        <w:pStyle w:val="16"/>
        <w:numPr>
          <w:ilvl w:val="0"/>
          <w:numId w:val="1"/>
        </w:numPr>
        <w:spacing w:after="80"/>
      </w:pPr>
      <w:r>
        <w:rPr>
          <w:rFonts w:ascii="Arial" w:hAnsi="Arial" w:eastAsia="Arial" w:cs="Arial"/>
          <w:b/>
          <w:bCs/>
          <w:color w:val="1A1A1A"/>
          <w:sz w:val="21"/>
          <w:szCs w:val="21"/>
        </w:rPr>
        <w:t xml:space="preserve">Data Minimisation: </w:t>
      </w:r>
      <w:r>
        <w:rPr>
          <w:rFonts w:ascii="Arial" w:hAnsi="Arial" w:eastAsia="Arial" w:cs="Arial"/>
          <w:color w:val="2C2C2C"/>
          <w:sz w:val="21"/>
          <w:szCs w:val="21"/>
        </w:rPr>
        <w:t>Vendors must collect only the minimum contributor information required for project participation and must not collect personal data beyond what is specified in project instructions</w:t>
      </w:r>
    </w:p>
    <w:p w14:paraId="62EA8CCA">
      <w:pPr>
        <w:pStyle w:val="16"/>
        <w:numPr>
          <w:ilvl w:val="0"/>
          <w:numId w:val="1"/>
        </w:numPr>
        <w:spacing w:after="80"/>
      </w:pPr>
      <w:r>
        <w:rPr>
          <w:rFonts w:ascii="Arial" w:hAnsi="Arial" w:eastAsia="Arial" w:cs="Arial"/>
          <w:b/>
          <w:bCs/>
          <w:color w:val="1A1A1A"/>
          <w:sz w:val="21"/>
          <w:szCs w:val="21"/>
        </w:rPr>
        <w:t xml:space="preserve">Security Obligation: </w:t>
      </w:r>
      <w:r>
        <w:rPr>
          <w:rFonts w:ascii="Arial" w:hAnsi="Arial" w:eastAsia="Arial" w:cs="Arial"/>
          <w:color w:val="2C2C2C"/>
          <w:sz w:val="21"/>
          <w:szCs w:val="21"/>
        </w:rPr>
        <w:t>Vendors are responsible for securing contributor data within their own systems and must implement reasonable technical and organisational safeguards</w:t>
      </w:r>
    </w:p>
    <w:p w14:paraId="449355AA">
      <w:pPr>
        <w:pStyle w:val="16"/>
        <w:numPr>
          <w:ilvl w:val="0"/>
          <w:numId w:val="1"/>
        </w:numPr>
        <w:spacing w:after="80"/>
      </w:pPr>
      <w:r>
        <w:rPr>
          <w:rFonts w:ascii="Arial" w:hAnsi="Arial" w:eastAsia="Arial" w:cs="Arial"/>
          <w:b/>
          <w:bCs/>
          <w:color w:val="1A1A1A"/>
          <w:sz w:val="21"/>
          <w:szCs w:val="21"/>
        </w:rPr>
        <w:t xml:space="preserve">Breach Reporting: </w:t>
      </w:r>
      <w:r>
        <w:rPr>
          <w:rFonts w:ascii="Arial" w:hAnsi="Arial" w:eastAsia="Arial" w:cs="Arial"/>
          <w:color w:val="2C2C2C"/>
          <w:sz w:val="21"/>
          <w:szCs w:val="21"/>
        </w:rPr>
        <w:t>Vendors must notify YUGM AI within 48 hours of becoming aware of any actual or suspected breach involving contributor or project data</w:t>
      </w:r>
    </w:p>
    <w:p w14:paraId="21AADBF9">
      <w:pPr>
        <w:pStyle w:val="16"/>
        <w:numPr>
          <w:ilvl w:val="0"/>
          <w:numId w:val="1"/>
        </w:numPr>
        <w:spacing w:after="80"/>
      </w:pPr>
      <w:r>
        <w:rPr>
          <w:rFonts w:ascii="Arial" w:hAnsi="Arial" w:eastAsia="Arial" w:cs="Arial"/>
          <w:b/>
          <w:bCs/>
          <w:color w:val="1A1A1A"/>
          <w:sz w:val="21"/>
          <w:szCs w:val="21"/>
        </w:rPr>
        <w:t xml:space="preserve">Sub-contracting Restriction: </w:t>
      </w:r>
      <w:r>
        <w:rPr>
          <w:rFonts w:ascii="Arial" w:hAnsi="Arial" w:eastAsia="Arial" w:cs="Arial"/>
          <w:color w:val="2C2C2C"/>
          <w:sz w:val="21"/>
          <w:szCs w:val="21"/>
        </w:rPr>
        <w:t>Vendors may not sub-contract project work or share project data with third parties without prior written approval from YUGM AI</w:t>
      </w:r>
    </w:p>
    <w:p w14:paraId="325CF3BA">
      <w:pPr>
        <w:spacing w:after="120"/>
        <w:jc w:val="both"/>
      </w:pPr>
      <w:r>
        <w:rPr>
          <w:rFonts w:ascii="Arial" w:hAnsi="Arial" w:eastAsia="Arial" w:cs="Arial"/>
          <w:color w:val="2C2C2C"/>
          <w:sz w:val="21"/>
          <w:szCs w:val="21"/>
        </w:rPr>
        <w:t>Vendors who fail to meet these obligations may have their accounts suspended and may be held liable for any resulting data protection violations.</w:t>
      </w:r>
    </w:p>
    <w:p w14:paraId="49E0F0E3">
      <w:pPr>
        <w:pStyle w:val="3"/>
        <w:spacing w:before="280" w:after="100"/>
      </w:pPr>
      <w:r>
        <w:rPr>
          <w:rFonts w:ascii="Arial" w:hAnsi="Arial" w:eastAsia="Arial" w:cs="Arial"/>
          <w:b/>
          <w:bCs/>
          <w:color w:val="1A1A1A"/>
          <w:sz w:val="24"/>
          <w:szCs w:val="24"/>
        </w:rPr>
        <w:t>5.3 Vendor Data Usage and Retention</w:t>
      </w:r>
    </w:p>
    <w:p w14:paraId="7DB828BC">
      <w:pPr>
        <w:pStyle w:val="16"/>
        <w:numPr>
          <w:ilvl w:val="0"/>
          <w:numId w:val="1"/>
        </w:numPr>
        <w:spacing w:after="80"/>
      </w:pPr>
      <w:r>
        <w:rPr>
          <w:rFonts w:ascii="Arial" w:hAnsi="Arial" w:eastAsia="Arial" w:cs="Arial"/>
          <w:color w:val="2C2C2C"/>
          <w:sz w:val="21"/>
          <w:szCs w:val="21"/>
        </w:rPr>
        <w:t>Vendor data is used to manage project delivery, coordinate submissions, process invoices, and maintain compliance records</w:t>
      </w:r>
    </w:p>
    <w:p w14:paraId="5E535CC5">
      <w:pPr>
        <w:pStyle w:val="16"/>
        <w:numPr>
          <w:ilvl w:val="0"/>
          <w:numId w:val="1"/>
        </w:numPr>
        <w:spacing w:after="80"/>
      </w:pPr>
      <w:r>
        <w:rPr>
          <w:rFonts w:ascii="Arial" w:hAnsi="Arial" w:eastAsia="Arial" w:cs="Arial"/>
          <w:color w:val="2C2C2C"/>
          <w:sz w:val="21"/>
          <w:szCs w:val="21"/>
        </w:rPr>
        <w:t>Vendor performance data (on-time delivery, quality scores, escalation rates) is maintained throughout the term of the vendor relationship</w:t>
      </w:r>
    </w:p>
    <w:p w14:paraId="5CB887F6">
      <w:pPr>
        <w:pStyle w:val="16"/>
        <w:numPr>
          <w:ilvl w:val="0"/>
          <w:numId w:val="1"/>
        </w:numPr>
        <w:spacing w:after="80"/>
      </w:pPr>
      <w:r>
        <w:rPr>
          <w:rFonts w:ascii="Arial" w:hAnsi="Arial" w:eastAsia="Arial" w:cs="Arial"/>
          <w:color w:val="2C2C2C"/>
          <w:sz w:val="21"/>
          <w:szCs w:val="21"/>
        </w:rPr>
        <w:t>Upon termination of the vendor relationship, personal data of vendor representatives will be deleted within 90 days, subject to legal retention obligations for financial and contractual records</w:t>
      </w:r>
    </w:p>
    <w:p w14:paraId="0D7AD2A1">
      <w:pPr>
        <w:pBdr>
          <w:bottom w:val="single" w:color="DDDDDD" w:sz="2" w:space="4"/>
        </w:pBdr>
        <w:spacing w:before="160" w:after="160"/>
      </w:pPr>
    </w:p>
    <w:p w14:paraId="6E15FBBD">
      <w:pPr>
        <w:pStyle w:val="2"/>
        <w:pBdr>
          <w:bottom w:val="single" w:color="1A56A0" w:sz="8" w:space="6"/>
        </w:pBdr>
        <w:spacing w:before="400" w:after="160"/>
      </w:pPr>
      <w:r>
        <w:rPr>
          <w:rFonts w:ascii="Arial" w:hAnsi="Arial" w:eastAsia="Arial" w:cs="Arial"/>
          <w:b/>
          <w:bCs/>
          <w:color w:val="1A56A0"/>
          <w:sz w:val="30"/>
          <w:szCs w:val="30"/>
        </w:rPr>
        <w:t>SECTION 6: CLIENT-SPECIFIC PROVISIONS</w:t>
      </w:r>
    </w:p>
    <w:p w14:paraId="45271754">
      <w:pPr>
        <w:pBdr>
          <w:left w:val="single" w:color="1A56A0" w:sz="12" w:space="12"/>
        </w:pBdr>
        <w:spacing w:before="120" w:after="120"/>
        <w:ind w:left="720"/>
      </w:pPr>
      <w:r>
        <w:rPr>
          <w:rFonts w:ascii="Arial" w:hAnsi="Arial" w:eastAsia="Arial" w:cs="Arial"/>
          <w:i/>
          <w:iCs/>
          <w:color w:val="1A56A0"/>
          <w:sz w:val="20"/>
          <w:szCs w:val="20"/>
        </w:rPr>
        <w:t>This section applies to enterprises, research institutions, technology companies, and any other entity that engages YUGM AI for AI data services, whether on a project basis or under a long-term service agreement.</w:t>
      </w:r>
    </w:p>
    <w:p w14:paraId="4634BC52">
      <w:pPr>
        <w:pStyle w:val="3"/>
        <w:spacing w:before="280" w:after="100"/>
      </w:pPr>
      <w:r>
        <w:rPr>
          <w:rFonts w:ascii="Arial" w:hAnsi="Arial" w:eastAsia="Arial" w:cs="Arial"/>
          <w:b/>
          <w:bCs/>
          <w:color w:val="1A1A1A"/>
          <w:sz w:val="24"/>
          <w:szCs w:val="24"/>
        </w:rPr>
        <w:t>6.1 Data Collected from Clients</w:t>
      </w:r>
    </w:p>
    <w:p w14:paraId="1F5B34D4">
      <w:pPr>
        <w:pStyle w:val="16"/>
        <w:numPr>
          <w:ilvl w:val="0"/>
          <w:numId w:val="1"/>
        </w:numPr>
        <w:spacing w:after="80"/>
      </w:pPr>
      <w:r>
        <w:rPr>
          <w:rFonts w:ascii="Arial" w:hAnsi="Arial" w:eastAsia="Arial" w:cs="Arial"/>
          <w:color w:val="2C2C2C"/>
          <w:sz w:val="21"/>
          <w:szCs w:val="21"/>
        </w:rPr>
        <w:t>Authorised representative details: name, email, phone, and designation</w:t>
      </w:r>
    </w:p>
    <w:p w14:paraId="590ABACC">
      <w:pPr>
        <w:pStyle w:val="16"/>
        <w:numPr>
          <w:ilvl w:val="0"/>
          <w:numId w:val="1"/>
        </w:numPr>
        <w:spacing w:after="80"/>
      </w:pPr>
      <w:r>
        <w:rPr>
          <w:rFonts w:ascii="Arial" w:hAnsi="Arial" w:eastAsia="Arial" w:cs="Arial"/>
          <w:color w:val="2C2C2C"/>
          <w:sz w:val="21"/>
          <w:szCs w:val="21"/>
        </w:rPr>
        <w:t>Company legal name, registered address, and jurisdiction of incorporation</w:t>
      </w:r>
    </w:p>
    <w:p w14:paraId="4D8FF728">
      <w:pPr>
        <w:pStyle w:val="16"/>
        <w:numPr>
          <w:ilvl w:val="0"/>
          <w:numId w:val="1"/>
        </w:numPr>
        <w:spacing w:after="80"/>
      </w:pPr>
      <w:r>
        <w:rPr>
          <w:rFonts w:ascii="Arial" w:hAnsi="Arial" w:eastAsia="Arial" w:cs="Arial"/>
          <w:color w:val="2C2C2C"/>
          <w:sz w:val="21"/>
          <w:szCs w:val="21"/>
        </w:rPr>
        <w:t>Tax identification numbers, VAT/GST numbers, and billing details</w:t>
      </w:r>
    </w:p>
    <w:p w14:paraId="1A66C9FF">
      <w:pPr>
        <w:pStyle w:val="16"/>
        <w:numPr>
          <w:ilvl w:val="0"/>
          <w:numId w:val="1"/>
        </w:numPr>
        <w:spacing w:after="80"/>
      </w:pPr>
      <w:r>
        <w:rPr>
          <w:rFonts w:ascii="Arial" w:hAnsi="Arial" w:eastAsia="Arial" w:cs="Arial"/>
          <w:color w:val="2C2C2C"/>
          <w:sz w:val="21"/>
          <w:szCs w:val="21"/>
        </w:rPr>
        <w:t>Project briefs, data collection specifications, annotation guidelines, and quality standards</w:t>
      </w:r>
    </w:p>
    <w:p w14:paraId="42FEF9DF">
      <w:pPr>
        <w:pStyle w:val="16"/>
        <w:numPr>
          <w:ilvl w:val="0"/>
          <w:numId w:val="1"/>
        </w:numPr>
        <w:spacing w:after="80"/>
      </w:pPr>
      <w:r>
        <w:rPr>
          <w:rFonts w:ascii="Arial" w:hAnsi="Arial" w:eastAsia="Arial" w:cs="Arial"/>
          <w:color w:val="2C2C2C"/>
          <w:sz w:val="21"/>
          <w:szCs w:val="21"/>
        </w:rPr>
        <w:t>Signed Service Agreements, NDAs, and Data Processing Agreements (DPAs)</w:t>
      </w:r>
    </w:p>
    <w:p w14:paraId="4494B018">
      <w:pPr>
        <w:pStyle w:val="16"/>
        <w:numPr>
          <w:ilvl w:val="0"/>
          <w:numId w:val="1"/>
        </w:numPr>
        <w:spacing w:after="80"/>
      </w:pPr>
      <w:r>
        <w:rPr>
          <w:rFonts w:ascii="Arial" w:hAnsi="Arial" w:eastAsia="Arial" w:cs="Arial"/>
          <w:color w:val="2C2C2C"/>
          <w:sz w:val="21"/>
          <w:szCs w:val="21"/>
        </w:rPr>
        <w:t>Communications and correspondence related to project scope and delivery</w:t>
      </w:r>
    </w:p>
    <w:p w14:paraId="0CC44E40">
      <w:pPr>
        <w:pStyle w:val="3"/>
        <w:spacing w:before="280" w:after="100"/>
      </w:pPr>
      <w:r>
        <w:rPr>
          <w:rFonts w:ascii="Arial" w:hAnsi="Arial" w:eastAsia="Arial" w:cs="Arial"/>
          <w:b/>
          <w:bCs/>
          <w:color w:val="1A1A1A"/>
          <w:sz w:val="24"/>
          <w:szCs w:val="24"/>
        </w:rPr>
        <w:t>6.2 Client Obligations as Data Controllers</w:t>
      </w:r>
    </w:p>
    <w:p w14:paraId="00514489">
      <w:pPr>
        <w:spacing w:after="120"/>
        <w:jc w:val="both"/>
      </w:pPr>
      <w:r>
        <w:rPr>
          <w:rFonts w:ascii="Arial" w:hAnsi="Arial" w:eastAsia="Arial" w:cs="Arial"/>
          <w:color w:val="2C2C2C"/>
          <w:sz w:val="21"/>
          <w:szCs w:val="21"/>
        </w:rPr>
        <w:t>Where YUGM AI processes personal data on behalf of a client (for example, where a client’s end-user data is included in the dataset for annotation or transcription), the client acts as the Data Controller and YUGM AI acts as the Data Processor. In such cases:</w:t>
      </w:r>
    </w:p>
    <w:p w14:paraId="6BDA999F">
      <w:pPr>
        <w:pStyle w:val="16"/>
        <w:numPr>
          <w:ilvl w:val="0"/>
          <w:numId w:val="1"/>
        </w:numPr>
        <w:spacing w:after="80"/>
      </w:pPr>
      <w:r>
        <w:rPr>
          <w:rFonts w:ascii="Arial" w:hAnsi="Arial" w:eastAsia="Arial" w:cs="Arial"/>
          <w:b/>
          <w:bCs/>
          <w:color w:val="1A1A1A"/>
          <w:sz w:val="21"/>
          <w:szCs w:val="21"/>
        </w:rPr>
        <w:t xml:space="preserve">Lawful Basis: </w:t>
      </w:r>
      <w:r>
        <w:rPr>
          <w:rFonts w:ascii="Arial" w:hAnsi="Arial" w:eastAsia="Arial" w:cs="Arial"/>
          <w:color w:val="2C2C2C"/>
          <w:sz w:val="21"/>
          <w:szCs w:val="21"/>
        </w:rPr>
        <w:t>Clients must ensure that any personal data shared with YUGM AI for processing has been collected lawfully and with appropriate consent or legal basis</w:t>
      </w:r>
    </w:p>
    <w:p w14:paraId="7A35CFDE">
      <w:pPr>
        <w:pStyle w:val="16"/>
        <w:numPr>
          <w:ilvl w:val="0"/>
          <w:numId w:val="1"/>
        </w:numPr>
        <w:spacing w:after="80"/>
      </w:pPr>
      <w:r>
        <w:rPr>
          <w:rFonts w:ascii="Arial" w:hAnsi="Arial" w:eastAsia="Arial" w:cs="Arial"/>
          <w:b/>
          <w:bCs/>
          <w:color w:val="1A1A1A"/>
          <w:sz w:val="21"/>
          <w:szCs w:val="21"/>
        </w:rPr>
        <w:t xml:space="preserve">Data Processing Agreement: </w:t>
      </w:r>
      <w:r>
        <w:rPr>
          <w:rFonts w:ascii="Arial" w:hAnsi="Arial" w:eastAsia="Arial" w:cs="Arial"/>
          <w:color w:val="2C2C2C"/>
          <w:sz w:val="21"/>
          <w:szCs w:val="21"/>
        </w:rPr>
        <w:t>A Data Processing Agreement (DPA) must be executed before any personal data is shared. Clients in GDPR-regulated jurisdictions are required to execute a DPA as a mandatory condition of service</w:t>
      </w:r>
    </w:p>
    <w:p w14:paraId="5FCC7FA6">
      <w:pPr>
        <w:pStyle w:val="16"/>
        <w:numPr>
          <w:ilvl w:val="0"/>
          <w:numId w:val="1"/>
        </w:numPr>
        <w:spacing w:after="80"/>
      </w:pPr>
      <w:r>
        <w:rPr>
          <w:rFonts w:ascii="Arial" w:hAnsi="Arial" w:eastAsia="Arial" w:cs="Arial"/>
          <w:b/>
          <w:bCs/>
          <w:color w:val="1A1A1A"/>
          <w:sz w:val="21"/>
          <w:szCs w:val="21"/>
        </w:rPr>
        <w:t xml:space="preserve">Data Minimisation: </w:t>
      </w:r>
      <w:r>
        <w:rPr>
          <w:rFonts w:ascii="Arial" w:hAnsi="Arial" w:eastAsia="Arial" w:cs="Arial"/>
          <w:color w:val="2C2C2C"/>
          <w:sz w:val="21"/>
          <w:szCs w:val="21"/>
        </w:rPr>
        <w:t>Clients should provide only the minimum personal data necessary for the contracted service. Unnecessary inclusion of personal data in project datasets is discouraged</w:t>
      </w:r>
    </w:p>
    <w:p w14:paraId="088F287C">
      <w:pPr>
        <w:pStyle w:val="16"/>
        <w:numPr>
          <w:ilvl w:val="0"/>
          <w:numId w:val="1"/>
        </w:numPr>
        <w:spacing w:after="80"/>
      </w:pPr>
      <w:r>
        <w:rPr>
          <w:rFonts w:ascii="Arial" w:hAnsi="Arial" w:eastAsia="Arial" w:cs="Arial"/>
          <w:b/>
          <w:bCs/>
          <w:color w:val="1A1A1A"/>
          <w:sz w:val="21"/>
          <w:szCs w:val="21"/>
        </w:rPr>
        <w:t xml:space="preserve">Regulatory Compliance: </w:t>
      </w:r>
      <w:r>
        <w:rPr>
          <w:rFonts w:ascii="Arial" w:hAnsi="Arial" w:eastAsia="Arial" w:cs="Arial"/>
          <w:color w:val="2C2C2C"/>
          <w:sz w:val="21"/>
          <w:szCs w:val="21"/>
        </w:rPr>
        <w:t>Clients are solely responsible for ensuring that their downstream use of delivered AI training datasets complies with all applicable laws in their jurisdiction, including data protection, AI regulation, and sector-specific laws</w:t>
      </w:r>
    </w:p>
    <w:p w14:paraId="38DDAD7C">
      <w:pPr>
        <w:pStyle w:val="16"/>
        <w:numPr>
          <w:ilvl w:val="0"/>
          <w:numId w:val="1"/>
        </w:numPr>
        <w:spacing w:after="80"/>
      </w:pPr>
      <w:r>
        <w:rPr>
          <w:rFonts w:ascii="Arial" w:hAnsi="Arial" w:eastAsia="Arial" w:cs="Arial"/>
          <w:b/>
          <w:bCs/>
          <w:color w:val="1A1A1A"/>
          <w:sz w:val="21"/>
          <w:szCs w:val="21"/>
        </w:rPr>
        <w:t xml:space="preserve">Sensitive Data Disclosure: </w:t>
      </w:r>
      <w:r>
        <w:rPr>
          <w:rFonts w:ascii="Arial" w:hAnsi="Arial" w:eastAsia="Arial" w:cs="Arial"/>
          <w:color w:val="2C2C2C"/>
          <w:sz w:val="21"/>
          <w:szCs w:val="21"/>
        </w:rPr>
        <w:t>If project datasets include sensitive personal data (health records, children’s data, financial data, biometric information), clients must disclose this at project initiation so appropriate safeguards can be implemented</w:t>
      </w:r>
    </w:p>
    <w:p w14:paraId="4255BBAE">
      <w:pPr>
        <w:pStyle w:val="3"/>
        <w:spacing w:before="280" w:after="100"/>
      </w:pPr>
      <w:r>
        <w:rPr>
          <w:rFonts w:ascii="Arial" w:hAnsi="Arial" w:eastAsia="Arial" w:cs="Arial"/>
          <w:b/>
          <w:bCs/>
          <w:color w:val="1A1A1A"/>
          <w:sz w:val="24"/>
          <w:szCs w:val="24"/>
        </w:rPr>
        <w:t>6.3 Confidentiality of Client Information</w:t>
      </w:r>
    </w:p>
    <w:p w14:paraId="7F6ED314">
      <w:pPr>
        <w:spacing w:after="120"/>
        <w:jc w:val="both"/>
      </w:pPr>
      <w:r>
        <w:rPr>
          <w:rFonts w:ascii="Arial" w:hAnsi="Arial" w:eastAsia="Arial" w:cs="Arial"/>
          <w:color w:val="2C2C2C"/>
          <w:sz w:val="21"/>
          <w:szCs w:val="21"/>
        </w:rPr>
        <w:t>YUGM AI treats all client project information, briefs, guidelines, and business data as strictly confidential. We will:</w:t>
      </w:r>
    </w:p>
    <w:p w14:paraId="0BBB5918">
      <w:pPr>
        <w:pStyle w:val="16"/>
        <w:numPr>
          <w:ilvl w:val="0"/>
          <w:numId w:val="1"/>
        </w:numPr>
        <w:spacing w:after="80"/>
      </w:pPr>
      <w:r>
        <w:rPr>
          <w:rFonts w:ascii="Arial" w:hAnsi="Arial" w:eastAsia="Arial" w:cs="Arial"/>
          <w:color w:val="2C2C2C"/>
          <w:sz w:val="21"/>
          <w:szCs w:val="21"/>
        </w:rPr>
        <w:t>Not disclose client identity or project details to contributors beyond what is operationally necessary</w:t>
      </w:r>
    </w:p>
    <w:p w14:paraId="61128D18">
      <w:pPr>
        <w:pStyle w:val="16"/>
        <w:numPr>
          <w:ilvl w:val="0"/>
          <w:numId w:val="1"/>
        </w:numPr>
        <w:spacing w:after="80"/>
      </w:pPr>
      <w:r>
        <w:rPr>
          <w:rFonts w:ascii="Arial" w:hAnsi="Arial" w:eastAsia="Arial" w:cs="Arial"/>
          <w:color w:val="2C2C2C"/>
          <w:sz w:val="21"/>
          <w:szCs w:val="21"/>
        </w:rPr>
        <w:t>Not share client deliverables, datasets, or project specifications with any third party without express written consent</w:t>
      </w:r>
    </w:p>
    <w:p w14:paraId="2BFC6BE3">
      <w:pPr>
        <w:pStyle w:val="16"/>
        <w:numPr>
          <w:ilvl w:val="0"/>
          <w:numId w:val="1"/>
        </w:numPr>
        <w:spacing w:after="80"/>
      </w:pPr>
      <w:r>
        <w:rPr>
          <w:rFonts w:ascii="Arial" w:hAnsi="Arial" w:eastAsia="Arial" w:cs="Arial"/>
          <w:color w:val="2C2C2C"/>
          <w:sz w:val="21"/>
          <w:szCs w:val="21"/>
        </w:rPr>
        <w:t>Maintain confidentiality obligations even after termination of the service relationship, for a period of three (3) years or as specified in the Service Agreement</w:t>
      </w:r>
    </w:p>
    <w:p w14:paraId="2EC80F84">
      <w:pPr>
        <w:pStyle w:val="3"/>
        <w:spacing w:before="280" w:after="100"/>
      </w:pPr>
      <w:r>
        <w:rPr>
          <w:rFonts w:ascii="Arial" w:hAnsi="Arial" w:eastAsia="Arial" w:cs="Arial"/>
          <w:b/>
          <w:bCs/>
          <w:color w:val="1A1A1A"/>
          <w:sz w:val="24"/>
          <w:szCs w:val="24"/>
        </w:rPr>
        <w:t>6.4 Data Processing Agreement (DPA) Availability</w:t>
      </w:r>
    </w:p>
    <w:p w14:paraId="50580612">
      <w:pPr>
        <w:spacing w:after="120"/>
        <w:jc w:val="both"/>
      </w:pPr>
      <w:r>
        <w:rPr>
          <w:rFonts w:ascii="Arial" w:hAnsi="Arial" w:eastAsia="Arial" w:cs="Arial"/>
          <w:color w:val="2C2C2C"/>
          <w:sz w:val="21"/>
          <w:szCs w:val="21"/>
        </w:rPr>
        <w:t>YUGM AI offers a standard Data Processing Agreement for clients who operate under GDPR, DPDP Act, or equivalent data protection regulations. The DPA covers:</w:t>
      </w:r>
    </w:p>
    <w:p w14:paraId="5D8DC1B9">
      <w:pPr>
        <w:pStyle w:val="16"/>
        <w:numPr>
          <w:ilvl w:val="0"/>
          <w:numId w:val="1"/>
        </w:numPr>
        <w:spacing w:after="80"/>
      </w:pPr>
      <w:r>
        <w:rPr>
          <w:rFonts w:ascii="Arial" w:hAnsi="Arial" w:eastAsia="Arial" w:cs="Arial"/>
          <w:color w:val="2C2C2C"/>
          <w:sz w:val="21"/>
          <w:szCs w:val="21"/>
        </w:rPr>
        <w:t>Scope and nature of processing carried out by YUGM AI on the client’s behalf</w:t>
      </w:r>
    </w:p>
    <w:p w14:paraId="45E01509">
      <w:pPr>
        <w:pStyle w:val="16"/>
        <w:numPr>
          <w:ilvl w:val="0"/>
          <w:numId w:val="1"/>
        </w:numPr>
        <w:spacing w:after="80"/>
      </w:pPr>
      <w:r>
        <w:rPr>
          <w:rFonts w:ascii="Arial" w:hAnsi="Arial" w:eastAsia="Arial" w:cs="Arial"/>
          <w:color w:val="2C2C2C"/>
          <w:sz w:val="21"/>
          <w:szCs w:val="21"/>
        </w:rPr>
        <w:t>Security measures and technical safeguards implemented by YUGM AI</w:t>
      </w:r>
    </w:p>
    <w:p w14:paraId="48FCB143">
      <w:pPr>
        <w:pStyle w:val="16"/>
        <w:numPr>
          <w:ilvl w:val="0"/>
          <w:numId w:val="1"/>
        </w:numPr>
        <w:spacing w:after="80"/>
      </w:pPr>
      <w:r>
        <w:rPr>
          <w:rFonts w:ascii="Arial" w:hAnsi="Arial" w:eastAsia="Arial" w:cs="Arial"/>
          <w:color w:val="2C2C2C"/>
          <w:sz w:val="21"/>
          <w:szCs w:val="21"/>
        </w:rPr>
        <w:t>Sub-processor disclosure and change notification procedure</w:t>
      </w:r>
    </w:p>
    <w:p w14:paraId="05B96FCF">
      <w:pPr>
        <w:pStyle w:val="16"/>
        <w:numPr>
          <w:ilvl w:val="0"/>
          <w:numId w:val="1"/>
        </w:numPr>
        <w:spacing w:after="80"/>
      </w:pPr>
      <w:r>
        <w:rPr>
          <w:rFonts w:ascii="Arial" w:hAnsi="Arial" w:eastAsia="Arial" w:cs="Arial"/>
          <w:color w:val="2C2C2C"/>
          <w:sz w:val="21"/>
          <w:szCs w:val="21"/>
        </w:rPr>
        <w:t>Procedures for handling data subject rights requests</w:t>
      </w:r>
    </w:p>
    <w:p w14:paraId="5FEDE71F">
      <w:pPr>
        <w:pStyle w:val="16"/>
        <w:numPr>
          <w:ilvl w:val="0"/>
          <w:numId w:val="1"/>
        </w:numPr>
        <w:spacing w:after="80"/>
      </w:pPr>
      <w:r>
        <w:rPr>
          <w:rFonts w:ascii="Arial" w:hAnsi="Arial" w:eastAsia="Arial" w:cs="Arial"/>
          <w:color w:val="2C2C2C"/>
          <w:sz w:val="21"/>
          <w:szCs w:val="21"/>
        </w:rPr>
        <w:t>Data breach notification timelines (within 72 hours for GDPR; within reasonable time under DPDP Act)</w:t>
      </w:r>
    </w:p>
    <w:p w14:paraId="65FA0392">
      <w:pPr>
        <w:pStyle w:val="16"/>
        <w:numPr>
          <w:ilvl w:val="0"/>
          <w:numId w:val="1"/>
        </w:numPr>
        <w:spacing w:after="80"/>
      </w:pPr>
      <w:r>
        <w:rPr>
          <w:rFonts w:ascii="Arial" w:hAnsi="Arial" w:eastAsia="Arial" w:cs="Arial"/>
          <w:color w:val="2C2C2C"/>
          <w:sz w:val="21"/>
          <w:szCs w:val="21"/>
        </w:rPr>
        <w:t>Data return and deletion upon contract termination</w:t>
      </w:r>
    </w:p>
    <w:p w14:paraId="294661DC">
      <w:pPr>
        <w:spacing w:after="120"/>
        <w:jc w:val="both"/>
      </w:pPr>
      <w:r>
        <w:rPr>
          <w:rFonts w:ascii="Arial" w:hAnsi="Arial" w:eastAsia="Arial" w:cs="Arial"/>
          <w:color w:val="2C2C2C"/>
          <w:sz w:val="21"/>
          <w:szCs w:val="21"/>
        </w:rPr>
        <w:t>To request a DPA, clients may contact info@yugmai.in. Execution of a DPA is mandatory for EU-based clients and strongly recommended for all international clients.</w:t>
      </w:r>
    </w:p>
    <w:p w14:paraId="3B35285C">
      <w:pPr>
        <w:pBdr>
          <w:bottom w:val="single" w:color="DDDDDD" w:sz="2" w:space="4"/>
        </w:pBdr>
        <w:spacing w:before="160" w:after="160"/>
      </w:pPr>
    </w:p>
    <w:p w14:paraId="79BA2EF8">
      <w:pPr>
        <w:pStyle w:val="2"/>
        <w:pBdr>
          <w:bottom w:val="single" w:color="1A56A0" w:sz="8" w:space="6"/>
        </w:pBdr>
        <w:spacing w:before="400" w:after="160"/>
      </w:pPr>
      <w:r>
        <w:rPr>
          <w:rFonts w:ascii="Arial" w:hAnsi="Arial" w:eastAsia="Arial" w:cs="Arial"/>
          <w:b/>
          <w:bCs/>
          <w:color w:val="1A56A0"/>
          <w:sz w:val="30"/>
          <w:szCs w:val="30"/>
        </w:rPr>
        <w:t>SECTION 7: DATA SHARING AND DISCLOSURE</w:t>
      </w:r>
    </w:p>
    <w:p w14:paraId="0DB8E4AF">
      <w:pPr>
        <w:pStyle w:val="3"/>
        <w:spacing w:before="280" w:after="100"/>
      </w:pPr>
      <w:r>
        <w:rPr>
          <w:rFonts w:ascii="Arial" w:hAnsi="Arial" w:eastAsia="Arial" w:cs="Arial"/>
          <w:b/>
          <w:bCs/>
          <w:color w:val="1A1A1A"/>
          <w:sz w:val="24"/>
          <w:szCs w:val="24"/>
        </w:rPr>
        <w:t>7.1 General Principle</w:t>
      </w:r>
    </w:p>
    <w:p w14:paraId="5BD28F12">
      <w:pPr>
        <w:spacing w:after="120"/>
        <w:jc w:val="both"/>
      </w:pPr>
      <w:r>
        <w:rPr>
          <w:rFonts w:ascii="Arial" w:hAnsi="Arial" w:eastAsia="Arial" w:cs="Arial"/>
          <w:color w:val="2C2C2C"/>
          <w:sz w:val="21"/>
          <w:szCs w:val="21"/>
        </w:rPr>
        <w:t>YUGM AI does not sell, rent, or trade personal data to third parties under any circumstances. Personal data is shared only as described in this section and only to the extent strictly necessary.</w:t>
      </w:r>
    </w:p>
    <w:p w14:paraId="0060F280">
      <w:pPr>
        <w:pStyle w:val="3"/>
        <w:spacing w:before="280" w:after="100"/>
      </w:pPr>
      <w:r>
        <w:rPr>
          <w:rFonts w:ascii="Arial" w:hAnsi="Arial" w:eastAsia="Arial" w:cs="Arial"/>
          <w:b/>
          <w:bCs/>
          <w:color w:val="1A1A1A"/>
          <w:sz w:val="24"/>
          <w:szCs w:val="24"/>
        </w:rPr>
        <w:t>7.2 Sharing with Clients</w:t>
      </w:r>
    </w:p>
    <w:p w14:paraId="311DF7DE">
      <w:pPr>
        <w:spacing w:after="120"/>
        <w:jc w:val="both"/>
      </w:pPr>
      <w:r>
        <w:rPr>
          <w:rFonts w:ascii="Arial" w:hAnsi="Arial" w:eastAsia="Arial" w:cs="Arial"/>
          <w:color w:val="2C2C2C"/>
          <w:sz w:val="21"/>
          <w:szCs w:val="21"/>
        </w:rPr>
        <w:t>Project deliverables (including contributor-generated data such as recordings, transcripts, and annotations) are shared with the commissioning client as part of the contracted service. When sharing contributor data with clients:</w:t>
      </w:r>
    </w:p>
    <w:p w14:paraId="10235F89">
      <w:pPr>
        <w:pStyle w:val="16"/>
        <w:numPr>
          <w:ilvl w:val="0"/>
          <w:numId w:val="1"/>
        </w:numPr>
        <w:spacing w:after="80"/>
      </w:pPr>
      <w:r>
        <w:rPr>
          <w:rFonts w:ascii="Arial" w:hAnsi="Arial" w:eastAsia="Arial" w:cs="Arial"/>
          <w:color w:val="2C2C2C"/>
          <w:sz w:val="21"/>
          <w:szCs w:val="21"/>
        </w:rPr>
        <w:t>Contributor personal identity (name, contact details, ID numbers) is not disclosed to clients unless explicitly required by the project agreement and consented to by the contributor</w:t>
      </w:r>
    </w:p>
    <w:p w14:paraId="713998B3">
      <w:pPr>
        <w:pStyle w:val="16"/>
        <w:numPr>
          <w:ilvl w:val="0"/>
          <w:numId w:val="1"/>
        </w:numPr>
        <w:spacing w:after="80"/>
      </w:pPr>
      <w:r>
        <w:rPr>
          <w:rFonts w:ascii="Arial" w:hAnsi="Arial" w:eastAsia="Arial" w:cs="Arial"/>
          <w:color w:val="2C2C2C"/>
          <w:sz w:val="21"/>
          <w:szCs w:val="21"/>
        </w:rPr>
        <w:t>Work output may be linked to a pseudonymous contributor identifier for quality tracking purposes</w:t>
      </w:r>
    </w:p>
    <w:p w14:paraId="65B8295C">
      <w:pPr>
        <w:pStyle w:val="16"/>
        <w:numPr>
          <w:ilvl w:val="0"/>
          <w:numId w:val="1"/>
        </w:numPr>
        <w:spacing w:after="80"/>
      </w:pPr>
      <w:r>
        <w:rPr>
          <w:rFonts w:ascii="Arial" w:hAnsi="Arial" w:eastAsia="Arial" w:cs="Arial"/>
          <w:color w:val="2C2C2C"/>
          <w:sz w:val="21"/>
          <w:szCs w:val="21"/>
        </w:rPr>
        <w:t>Aggregated contributor pool statistics (language distribution, quality averages) may be shared with clients for reporting purposes</w:t>
      </w:r>
    </w:p>
    <w:p w14:paraId="4779EC5C">
      <w:pPr>
        <w:pStyle w:val="3"/>
        <w:spacing w:before="280" w:after="100"/>
      </w:pPr>
      <w:r>
        <w:rPr>
          <w:rFonts w:ascii="Arial" w:hAnsi="Arial" w:eastAsia="Arial" w:cs="Arial"/>
          <w:b/>
          <w:bCs/>
          <w:color w:val="1A1A1A"/>
          <w:sz w:val="24"/>
          <w:szCs w:val="24"/>
        </w:rPr>
        <w:t>7.3 Sharing with Service Providers and Sub-Processors</w:t>
      </w:r>
    </w:p>
    <w:p w14:paraId="4E5D603E">
      <w:pPr>
        <w:spacing w:after="120"/>
        <w:jc w:val="both"/>
      </w:pPr>
      <w:r>
        <w:rPr>
          <w:rFonts w:ascii="Arial" w:hAnsi="Arial" w:eastAsia="Arial" w:cs="Arial"/>
          <w:color w:val="2C2C2C"/>
          <w:sz w:val="21"/>
          <w:szCs w:val="21"/>
        </w:rPr>
        <w:t>YUGM AI works with carefully selected third-party service providers who process personal data on our behalf. These include:</w:t>
      </w:r>
    </w:p>
    <w:p w14:paraId="41449782">
      <w:pPr>
        <w:pStyle w:val="16"/>
        <w:numPr>
          <w:ilvl w:val="0"/>
          <w:numId w:val="1"/>
        </w:numPr>
        <w:spacing w:after="80"/>
      </w:pPr>
      <w:r>
        <w:rPr>
          <w:rFonts w:ascii="Arial" w:hAnsi="Arial" w:eastAsia="Arial" w:cs="Arial"/>
          <w:b/>
          <w:bCs/>
          <w:color w:val="1A1A1A"/>
          <w:sz w:val="21"/>
          <w:szCs w:val="21"/>
        </w:rPr>
        <w:t xml:space="preserve">Cloud Infrastructure Providers: </w:t>
      </w:r>
      <w:r>
        <w:rPr>
          <w:rFonts w:ascii="Arial" w:hAnsi="Arial" w:eastAsia="Arial" w:cs="Arial"/>
          <w:color w:val="2C2C2C"/>
          <w:sz w:val="21"/>
          <w:szCs w:val="21"/>
        </w:rPr>
        <w:t>For hosting, storage, and platform operations</w:t>
      </w:r>
    </w:p>
    <w:p w14:paraId="62DCC227">
      <w:pPr>
        <w:pStyle w:val="16"/>
        <w:numPr>
          <w:ilvl w:val="0"/>
          <w:numId w:val="1"/>
        </w:numPr>
        <w:spacing w:after="80"/>
      </w:pPr>
      <w:r>
        <w:rPr>
          <w:rFonts w:ascii="Arial" w:hAnsi="Arial" w:eastAsia="Arial" w:cs="Arial"/>
          <w:b/>
          <w:bCs/>
          <w:color w:val="1A1A1A"/>
          <w:sz w:val="21"/>
          <w:szCs w:val="21"/>
        </w:rPr>
        <w:t xml:space="preserve">Payment Processors and Banks: </w:t>
      </w:r>
      <w:r>
        <w:rPr>
          <w:rFonts w:ascii="Arial" w:hAnsi="Arial" w:eastAsia="Arial" w:cs="Arial"/>
          <w:color w:val="2C2C2C"/>
          <w:sz w:val="21"/>
          <w:szCs w:val="21"/>
        </w:rPr>
        <w:t>For contributor and vendor payouts and client billing</w:t>
      </w:r>
    </w:p>
    <w:p w14:paraId="798A540A">
      <w:pPr>
        <w:pStyle w:val="16"/>
        <w:numPr>
          <w:ilvl w:val="0"/>
          <w:numId w:val="1"/>
        </w:numPr>
        <w:spacing w:after="80"/>
      </w:pPr>
      <w:r>
        <w:rPr>
          <w:rFonts w:ascii="Arial" w:hAnsi="Arial" w:eastAsia="Arial" w:cs="Arial"/>
          <w:b/>
          <w:bCs/>
          <w:color w:val="1A1A1A"/>
          <w:sz w:val="21"/>
          <w:szCs w:val="21"/>
        </w:rPr>
        <w:t xml:space="preserve">KYC and Identity Verification Services: </w:t>
      </w:r>
      <w:r>
        <w:rPr>
          <w:rFonts w:ascii="Arial" w:hAnsi="Arial" w:eastAsia="Arial" w:cs="Arial"/>
          <w:color w:val="2C2C2C"/>
          <w:sz w:val="21"/>
          <w:szCs w:val="21"/>
        </w:rPr>
        <w:t>For contributor identity checks</w:t>
      </w:r>
    </w:p>
    <w:p w14:paraId="653F7273">
      <w:pPr>
        <w:pStyle w:val="16"/>
        <w:numPr>
          <w:ilvl w:val="0"/>
          <w:numId w:val="1"/>
        </w:numPr>
        <w:spacing w:after="80"/>
      </w:pPr>
      <w:r>
        <w:rPr>
          <w:rFonts w:ascii="Arial" w:hAnsi="Arial" w:eastAsia="Arial" w:cs="Arial"/>
          <w:b/>
          <w:bCs/>
          <w:color w:val="1A1A1A"/>
          <w:sz w:val="21"/>
          <w:szCs w:val="21"/>
        </w:rPr>
        <w:t xml:space="preserve">Email and Communication Tools: </w:t>
      </w:r>
      <w:r>
        <w:rPr>
          <w:rFonts w:ascii="Arial" w:hAnsi="Arial" w:eastAsia="Arial" w:cs="Arial"/>
          <w:color w:val="2C2C2C"/>
          <w:sz w:val="21"/>
          <w:szCs w:val="21"/>
        </w:rPr>
        <w:t>For platform notifications and support communications</w:t>
      </w:r>
    </w:p>
    <w:p w14:paraId="08A132C2">
      <w:pPr>
        <w:pStyle w:val="16"/>
        <w:numPr>
          <w:ilvl w:val="0"/>
          <w:numId w:val="1"/>
        </w:numPr>
        <w:spacing w:after="80"/>
      </w:pPr>
      <w:r>
        <w:rPr>
          <w:rFonts w:ascii="Arial" w:hAnsi="Arial" w:eastAsia="Arial" w:cs="Arial"/>
          <w:b/>
          <w:bCs/>
          <w:color w:val="1A1A1A"/>
          <w:sz w:val="21"/>
          <w:szCs w:val="21"/>
        </w:rPr>
        <w:t xml:space="preserve">Analytics Platforms: </w:t>
      </w:r>
      <w:r>
        <w:rPr>
          <w:rFonts w:ascii="Arial" w:hAnsi="Arial" w:eastAsia="Arial" w:cs="Arial"/>
          <w:color w:val="2C2C2C"/>
          <w:sz w:val="21"/>
          <w:szCs w:val="21"/>
        </w:rPr>
        <w:t>For understanding platform usage (data is anonymised where possible)</w:t>
      </w:r>
    </w:p>
    <w:p w14:paraId="11FD1340">
      <w:pPr>
        <w:spacing w:after="120"/>
        <w:jc w:val="both"/>
      </w:pPr>
      <w:r>
        <w:rPr>
          <w:rFonts w:ascii="Arial" w:hAnsi="Arial" w:eastAsia="Arial" w:cs="Arial"/>
          <w:color w:val="2C2C2C"/>
          <w:sz w:val="21"/>
          <w:szCs w:val="21"/>
        </w:rPr>
        <w:t>All sub-processors are bound by contractual data protection obligations consistent with this Privacy Policy. A list of current sub-processors is available upon request.</w:t>
      </w:r>
    </w:p>
    <w:p w14:paraId="70E85D8B">
      <w:pPr>
        <w:pStyle w:val="3"/>
        <w:spacing w:before="280" w:after="100"/>
      </w:pPr>
      <w:r>
        <w:rPr>
          <w:rFonts w:ascii="Arial" w:hAnsi="Arial" w:eastAsia="Arial" w:cs="Arial"/>
          <w:b/>
          <w:bCs/>
          <w:color w:val="1A1A1A"/>
          <w:sz w:val="24"/>
          <w:szCs w:val="24"/>
        </w:rPr>
        <w:t>7.4 Legal and Regulatory Disclosure</w:t>
      </w:r>
    </w:p>
    <w:p w14:paraId="21CD0B34">
      <w:pPr>
        <w:spacing w:after="120"/>
        <w:jc w:val="both"/>
      </w:pPr>
      <w:r>
        <w:rPr>
          <w:rFonts w:ascii="Arial" w:hAnsi="Arial" w:eastAsia="Arial" w:cs="Arial"/>
          <w:color w:val="2C2C2C"/>
          <w:sz w:val="21"/>
          <w:szCs w:val="21"/>
        </w:rPr>
        <w:t>YUGM AI may disclose personal data without prior notice where required by:</w:t>
      </w:r>
    </w:p>
    <w:p w14:paraId="1E085FCF">
      <w:pPr>
        <w:pStyle w:val="16"/>
        <w:numPr>
          <w:ilvl w:val="0"/>
          <w:numId w:val="1"/>
        </w:numPr>
        <w:spacing w:after="80"/>
      </w:pPr>
      <w:r>
        <w:rPr>
          <w:rFonts w:ascii="Arial" w:hAnsi="Arial" w:eastAsia="Arial" w:cs="Arial"/>
          <w:color w:val="2C2C2C"/>
          <w:sz w:val="21"/>
          <w:szCs w:val="21"/>
        </w:rPr>
        <w:t>A court order, summons, or lawful directive from a competent authority</w:t>
      </w:r>
    </w:p>
    <w:p w14:paraId="7110D65B">
      <w:pPr>
        <w:pStyle w:val="16"/>
        <w:numPr>
          <w:ilvl w:val="0"/>
          <w:numId w:val="1"/>
        </w:numPr>
        <w:spacing w:after="80"/>
      </w:pPr>
      <w:r>
        <w:rPr>
          <w:rFonts w:ascii="Arial" w:hAnsi="Arial" w:eastAsia="Arial" w:cs="Arial"/>
          <w:color w:val="2C2C2C"/>
          <w:sz w:val="21"/>
          <w:szCs w:val="21"/>
        </w:rPr>
        <w:t>A regulatory investigation or audit by a government body</w:t>
      </w:r>
    </w:p>
    <w:p w14:paraId="0E1468D6">
      <w:pPr>
        <w:pStyle w:val="16"/>
        <w:numPr>
          <w:ilvl w:val="0"/>
          <w:numId w:val="1"/>
        </w:numPr>
        <w:spacing w:after="80"/>
      </w:pPr>
      <w:r>
        <w:rPr>
          <w:rFonts w:ascii="Arial" w:hAnsi="Arial" w:eastAsia="Arial" w:cs="Arial"/>
          <w:color w:val="2C2C2C"/>
          <w:sz w:val="21"/>
          <w:szCs w:val="21"/>
        </w:rPr>
        <w:t>A legal obligation to report suspicious activity, fraud, or money laundering</w:t>
      </w:r>
    </w:p>
    <w:p w14:paraId="1DE866BC">
      <w:pPr>
        <w:spacing w:after="120"/>
        <w:jc w:val="both"/>
      </w:pPr>
      <w:r>
        <w:rPr>
          <w:rFonts w:ascii="Arial" w:hAnsi="Arial" w:eastAsia="Arial" w:cs="Arial"/>
          <w:color w:val="2C2C2C"/>
          <w:sz w:val="21"/>
          <w:szCs w:val="21"/>
        </w:rPr>
        <w:t>In all such cases, YUGM AI will disclose only the minimum data required and will, where legally permissible, notify the affected individual.</w:t>
      </w:r>
    </w:p>
    <w:p w14:paraId="6CA57079">
      <w:pPr>
        <w:pStyle w:val="3"/>
        <w:spacing w:before="280" w:after="100"/>
      </w:pPr>
      <w:r>
        <w:rPr>
          <w:rFonts w:ascii="Arial" w:hAnsi="Arial" w:eastAsia="Arial" w:cs="Arial"/>
          <w:b/>
          <w:bCs/>
          <w:color w:val="1A1A1A"/>
          <w:sz w:val="24"/>
          <w:szCs w:val="24"/>
        </w:rPr>
        <w:t>7.5 Business Transfers</w:t>
      </w:r>
    </w:p>
    <w:p w14:paraId="01B19CFB">
      <w:pPr>
        <w:spacing w:after="120"/>
        <w:jc w:val="both"/>
      </w:pPr>
      <w:r>
        <w:rPr>
          <w:rFonts w:ascii="Arial" w:hAnsi="Arial" w:eastAsia="Arial" w:cs="Arial"/>
          <w:color w:val="2C2C2C"/>
          <w:sz w:val="21"/>
          <w:szCs w:val="21"/>
        </w:rPr>
        <w:t>In the event of a merger, acquisition, restructuring, or sale of substantially all of YUGM AI’s assets, personal data held by the Company may be transferred to the acquiring entity. Affected users will be notified at least 30 days in advance of such a transfer, and the acquiring entity will be required to honour the commitments in this Privacy Policy or seek fresh consent.</w:t>
      </w:r>
    </w:p>
    <w:p w14:paraId="4CA39BFC">
      <w:pPr>
        <w:pStyle w:val="3"/>
        <w:spacing w:before="280" w:after="100"/>
      </w:pPr>
      <w:r>
        <w:rPr>
          <w:rFonts w:ascii="Arial" w:hAnsi="Arial" w:eastAsia="Arial" w:cs="Arial"/>
          <w:b/>
          <w:bCs/>
          <w:color w:val="1A1A1A"/>
          <w:sz w:val="24"/>
          <w:szCs w:val="24"/>
        </w:rPr>
        <w:t>7.6 Aggregated and Anonymised Data</w:t>
      </w:r>
    </w:p>
    <w:p w14:paraId="7408FB20">
      <w:pPr>
        <w:spacing w:after="120"/>
        <w:jc w:val="both"/>
      </w:pPr>
      <w:r>
        <w:rPr>
          <w:rFonts w:ascii="Arial" w:hAnsi="Arial" w:eastAsia="Arial" w:cs="Arial"/>
          <w:color w:val="2C2C2C"/>
          <w:sz w:val="21"/>
          <w:szCs w:val="21"/>
        </w:rPr>
        <w:t>YUGM AI may share aggregated, anonymised datasets with clients, partners, or research bodies for the purpose of understanding AI data trends, language technology development, or platform improvement. Such data does not identify any individual and is not subject to this Privacy Policy.</w:t>
      </w:r>
    </w:p>
    <w:p w14:paraId="4D713A7D">
      <w:pPr>
        <w:pBdr>
          <w:bottom w:val="single" w:color="DDDDDD" w:sz="2" w:space="4"/>
        </w:pBdr>
        <w:spacing w:before="160" w:after="160"/>
      </w:pPr>
    </w:p>
    <w:p w14:paraId="7AE4BF9A">
      <w:pPr>
        <w:pStyle w:val="2"/>
        <w:pBdr>
          <w:bottom w:val="single" w:color="1A56A0" w:sz="8" w:space="6"/>
        </w:pBdr>
        <w:spacing w:before="400" w:after="160"/>
      </w:pPr>
      <w:r>
        <w:rPr>
          <w:rFonts w:ascii="Arial" w:hAnsi="Arial" w:eastAsia="Arial" w:cs="Arial"/>
          <w:b/>
          <w:bCs/>
          <w:color w:val="1A56A0"/>
          <w:sz w:val="30"/>
          <w:szCs w:val="30"/>
        </w:rPr>
        <w:t>SECTION 8: DATA SECURITY</w:t>
      </w:r>
    </w:p>
    <w:p w14:paraId="2F925EB2">
      <w:pPr>
        <w:pStyle w:val="3"/>
        <w:spacing w:before="280" w:after="100"/>
      </w:pPr>
      <w:r>
        <w:rPr>
          <w:rFonts w:ascii="Arial" w:hAnsi="Arial" w:eastAsia="Arial" w:cs="Arial"/>
          <w:b/>
          <w:bCs/>
          <w:color w:val="1A1A1A"/>
          <w:sz w:val="24"/>
          <w:szCs w:val="24"/>
        </w:rPr>
        <w:t>8.1 Security Measures</w:t>
      </w:r>
    </w:p>
    <w:p w14:paraId="4C38F371">
      <w:pPr>
        <w:spacing w:after="120"/>
        <w:jc w:val="both"/>
      </w:pPr>
      <w:r>
        <w:rPr>
          <w:rFonts w:ascii="Arial" w:hAnsi="Arial" w:eastAsia="Arial" w:cs="Arial"/>
          <w:color w:val="2C2C2C"/>
          <w:sz w:val="21"/>
          <w:szCs w:val="21"/>
        </w:rPr>
        <w:t>YUGM AI implements a multi-layered security framework to protect personal data against unauthorised access, loss, alteration, disclosure, or destruction. Our measures include:</w:t>
      </w:r>
    </w:p>
    <w:p w14:paraId="7552FB35">
      <w:pPr>
        <w:spacing w:before="200" w:after="80"/>
      </w:pPr>
      <w:r>
        <w:rPr>
          <w:rFonts w:ascii="Arial" w:hAnsi="Arial" w:eastAsia="Arial" w:cs="Arial"/>
          <w:b/>
          <w:bCs/>
          <w:color w:val="1A56A0"/>
          <w:sz w:val="22"/>
          <w:szCs w:val="22"/>
        </w:rPr>
        <w:t>8.1.1 Technical Safeguards</w:t>
      </w:r>
    </w:p>
    <w:p w14:paraId="59404EB8">
      <w:pPr>
        <w:pStyle w:val="16"/>
        <w:numPr>
          <w:ilvl w:val="0"/>
          <w:numId w:val="1"/>
        </w:numPr>
        <w:spacing w:after="80"/>
      </w:pPr>
      <w:r>
        <w:rPr>
          <w:rFonts w:ascii="Arial" w:hAnsi="Arial" w:eastAsia="Arial" w:cs="Arial"/>
          <w:color w:val="2C2C2C"/>
          <w:sz w:val="21"/>
          <w:szCs w:val="21"/>
        </w:rPr>
        <w:t>Transport Layer Security (TLS 1.2 or higher) for all data transmitted between users and our platform</w:t>
      </w:r>
    </w:p>
    <w:p w14:paraId="7B2D8851">
      <w:pPr>
        <w:pStyle w:val="16"/>
        <w:numPr>
          <w:ilvl w:val="0"/>
          <w:numId w:val="1"/>
        </w:numPr>
        <w:spacing w:after="80"/>
      </w:pPr>
      <w:r>
        <w:rPr>
          <w:rFonts w:ascii="Arial" w:hAnsi="Arial" w:eastAsia="Arial" w:cs="Arial"/>
          <w:color w:val="2C2C2C"/>
          <w:sz w:val="21"/>
          <w:szCs w:val="21"/>
        </w:rPr>
        <w:t>Encryption of sensitive data at rest, including identity documents and payment information</w:t>
      </w:r>
    </w:p>
    <w:p w14:paraId="006EF843">
      <w:pPr>
        <w:pStyle w:val="16"/>
        <w:numPr>
          <w:ilvl w:val="0"/>
          <w:numId w:val="1"/>
        </w:numPr>
        <w:spacing w:after="80"/>
      </w:pPr>
      <w:r>
        <w:rPr>
          <w:rFonts w:ascii="Arial" w:hAnsi="Arial" w:eastAsia="Arial" w:cs="Arial"/>
          <w:color w:val="2C2C2C"/>
          <w:sz w:val="21"/>
          <w:szCs w:val="21"/>
        </w:rPr>
        <w:t>Secure password hashing using industry-standard algorithms (bcrypt or equivalent)</w:t>
      </w:r>
    </w:p>
    <w:p w14:paraId="326D1011">
      <w:pPr>
        <w:pStyle w:val="16"/>
        <w:numPr>
          <w:ilvl w:val="0"/>
          <w:numId w:val="1"/>
        </w:numPr>
        <w:spacing w:after="80"/>
      </w:pPr>
      <w:r>
        <w:rPr>
          <w:rFonts w:ascii="Arial" w:hAnsi="Arial" w:eastAsia="Arial" w:cs="Arial"/>
          <w:color w:val="2C2C2C"/>
          <w:sz w:val="21"/>
          <w:szCs w:val="21"/>
        </w:rPr>
        <w:t>Regular vulnerability assessments and security patches</w:t>
      </w:r>
    </w:p>
    <w:p w14:paraId="404E8547">
      <w:pPr>
        <w:pStyle w:val="16"/>
        <w:numPr>
          <w:ilvl w:val="0"/>
          <w:numId w:val="1"/>
        </w:numPr>
        <w:spacing w:after="80"/>
      </w:pPr>
      <w:r>
        <w:rPr>
          <w:rFonts w:ascii="Arial" w:hAnsi="Arial" w:eastAsia="Arial" w:cs="Arial"/>
          <w:color w:val="2C2C2C"/>
          <w:sz w:val="21"/>
          <w:szCs w:val="21"/>
        </w:rPr>
        <w:t>Automated session expiry and token invalidation</w:t>
      </w:r>
    </w:p>
    <w:p w14:paraId="388151E9">
      <w:pPr>
        <w:spacing w:before="200" w:after="80"/>
      </w:pPr>
      <w:r>
        <w:rPr>
          <w:rFonts w:ascii="Arial" w:hAnsi="Arial" w:eastAsia="Arial" w:cs="Arial"/>
          <w:b/>
          <w:bCs/>
          <w:color w:val="1A56A0"/>
          <w:sz w:val="22"/>
          <w:szCs w:val="22"/>
        </w:rPr>
        <w:t>8.1.2 Access Controls</w:t>
      </w:r>
    </w:p>
    <w:p w14:paraId="3996C4A9">
      <w:pPr>
        <w:pStyle w:val="16"/>
        <w:numPr>
          <w:ilvl w:val="0"/>
          <w:numId w:val="1"/>
        </w:numPr>
        <w:spacing w:after="80"/>
      </w:pPr>
      <w:r>
        <w:rPr>
          <w:rFonts w:ascii="Arial" w:hAnsi="Arial" w:eastAsia="Arial" w:cs="Arial"/>
          <w:color w:val="2C2C2C"/>
          <w:sz w:val="21"/>
          <w:szCs w:val="21"/>
        </w:rPr>
        <w:t>Role-based access control (RBAC) limiting data access to authorised personnel only</w:t>
      </w:r>
    </w:p>
    <w:p w14:paraId="59CD8D94">
      <w:pPr>
        <w:pStyle w:val="16"/>
        <w:numPr>
          <w:ilvl w:val="0"/>
          <w:numId w:val="1"/>
        </w:numPr>
        <w:spacing w:after="80"/>
      </w:pPr>
      <w:r>
        <w:rPr>
          <w:rFonts w:ascii="Arial" w:hAnsi="Arial" w:eastAsia="Arial" w:cs="Arial"/>
          <w:color w:val="2C2C2C"/>
          <w:sz w:val="21"/>
          <w:szCs w:val="21"/>
        </w:rPr>
        <w:t>Administrative access to personal data restricted to a minimal, need-to-know basis</w:t>
      </w:r>
    </w:p>
    <w:p w14:paraId="30A3D406">
      <w:pPr>
        <w:pStyle w:val="16"/>
        <w:numPr>
          <w:ilvl w:val="0"/>
          <w:numId w:val="1"/>
        </w:numPr>
        <w:spacing w:after="80"/>
      </w:pPr>
      <w:r>
        <w:rPr>
          <w:rFonts w:ascii="Arial" w:hAnsi="Arial" w:eastAsia="Arial" w:cs="Arial"/>
          <w:color w:val="2C2C2C"/>
          <w:sz w:val="21"/>
          <w:szCs w:val="21"/>
        </w:rPr>
        <w:t>Audit logs maintained for all administrative access to personal data</w:t>
      </w:r>
    </w:p>
    <w:p w14:paraId="65CA545A">
      <w:pPr>
        <w:pStyle w:val="16"/>
        <w:numPr>
          <w:ilvl w:val="0"/>
          <w:numId w:val="1"/>
        </w:numPr>
        <w:spacing w:after="80"/>
      </w:pPr>
      <w:r>
        <w:rPr>
          <w:rFonts w:ascii="Arial" w:hAnsi="Arial" w:eastAsia="Arial" w:cs="Arial"/>
          <w:color w:val="2C2C2C"/>
          <w:sz w:val="21"/>
          <w:szCs w:val="21"/>
        </w:rPr>
        <w:t>Multi-factor authentication required for admin accounts</w:t>
      </w:r>
    </w:p>
    <w:p w14:paraId="6B3E39CC">
      <w:pPr>
        <w:spacing w:before="200" w:after="80"/>
      </w:pPr>
      <w:r>
        <w:rPr>
          <w:rFonts w:ascii="Arial" w:hAnsi="Arial" w:eastAsia="Arial" w:cs="Arial"/>
          <w:b/>
          <w:bCs/>
          <w:color w:val="1A56A0"/>
          <w:sz w:val="22"/>
          <w:szCs w:val="22"/>
        </w:rPr>
        <w:t>8.1.3 Organisational Measures</w:t>
      </w:r>
    </w:p>
    <w:p w14:paraId="5B6B6799">
      <w:pPr>
        <w:pStyle w:val="16"/>
        <w:numPr>
          <w:ilvl w:val="0"/>
          <w:numId w:val="1"/>
        </w:numPr>
        <w:spacing w:after="80"/>
      </w:pPr>
      <w:r>
        <w:rPr>
          <w:rFonts w:ascii="Arial" w:hAnsi="Arial" w:eastAsia="Arial" w:cs="Arial"/>
          <w:color w:val="2C2C2C"/>
          <w:sz w:val="21"/>
          <w:szCs w:val="21"/>
        </w:rPr>
        <w:t>Staff who handle personal data are trained on data protection obligations and this Privacy Policy</w:t>
      </w:r>
    </w:p>
    <w:p w14:paraId="65E03812">
      <w:pPr>
        <w:pStyle w:val="16"/>
        <w:numPr>
          <w:ilvl w:val="0"/>
          <w:numId w:val="1"/>
        </w:numPr>
        <w:spacing w:after="80"/>
      </w:pPr>
      <w:r>
        <w:rPr>
          <w:rFonts w:ascii="Arial" w:hAnsi="Arial" w:eastAsia="Arial" w:cs="Arial"/>
          <w:color w:val="2C2C2C"/>
          <w:sz w:val="21"/>
          <w:szCs w:val="21"/>
        </w:rPr>
        <w:t>Internal data handling procedures and access policies are reviewed periodically</w:t>
      </w:r>
    </w:p>
    <w:p w14:paraId="48979B18">
      <w:pPr>
        <w:pStyle w:val="16"/>
        <w:numPr>
          <w:ilvl w:val="0"/>
          <w:numId w:val="1"/>
        </w:numPr>
        <w:spacing w:after="80"/>
      </w:pPr>
      <w:r>
        <w:rPr>
          <w:rFonts w:ascii="Arial" w:hAnsi="Arial" w:eastAsia="Arial" w:cs="Arial"/>
          <w:color w:val="2C2C2C"/>
          <w:sz w:val="21"/>
          <w:szCs w:val="21"/>
        </w:rPr>
        <w:t>Third-party processors are vetted for security compliance before engagement</w:t>
      </w:r>
    </w:p>
    <w:p w14:paraId="3F044104">
      <w:pPr>
        <w:pStyle w:val="3"/>
        <w:spacing w:before="280" w:after="100"/>
      </w:pPr>
      <w:r>
        <w:rPr>
          <w:rFonts w:ascii="Arial" w:hAnsi="Arial" w:eastAsia="Arial" w:cs="Arial"/>
          <w:b/>
          <w:bCs/>
          <w:color w:val="1A1A1A"/>
          <w:sz w:val="24"/>
          <w:szCs w:val="24"/>
        </w:rPr>
        <w:t>8.2 Data Breach Response</w:t>
      </w:r>
    </w:p>
    <w:p w14:paraId="3D63069A">
      <w:pPr>
        <w:spacing w:after="120"/>
        <w:jc w:val="both"/>
      </w:pPr>
      <w:r>
        <w:rPr>
          <w:rFonts w:ascii="Arial" w:hAnsi="Arial" w:eastAsia="Arial" w:cs="Arial"/>
          <w:color w:val="2C2C2C"/>
          <w:sz w:val="21"/>
          <w:szCs w:val="21"/>
        </w:rPr>
        <w:t>In the event of a personal data breach, YUGM AI will:</w:t>
      </w:r>
    </w:p>
    <w:p w14:paraId="4532F125">
      <w:pPr>
        <w:pStyle w:val="16"/>
        <w:numPr>
          <w:ilvl w:val="0"/>
          <w:numId w:val="2"/>
        </w:numPr>
        <w:spacing w:after="100"/>
      </w:pPr>
      <w:r>
        <w:rPr>
          <w:rFonts w:ascii="Arial" w:hAnsi="Arial" w:eastAsia="Arial" w:cs="Arial"/>
          <w:color w:val="2C2C2C"/>
          <w:sz w:val="21"/>
          <w:szCs w:val="21"/>
        </w:rPr>
        <w:t>Contain the breach and assess its scope and potential impact within 24 hours of detection</w:t>
      </w:r>
    </w:p>
    <w:p w14:paraId="230C381D">
      <w:pPr>
        <w:pStyle w:val="16"/>
        <w:numPr>
          <w:ilvl w:val="0"/>
          <w:numId w:val="2"/>
        </w:numPr>
        <w:spacing w:after="100"/>
      </w:pPr>
      <w:r>
        <w:rPr>
          <w:rFonts w:ascii="Arial" w:hAnsi="Arial" w:eastAsia="Arial" w:cs="Arial"/>
          <w:color w:val="2C2C2C"/>
          <w:sz w:val="21"/>
          <w:szCs w:val="21"/>
        </w:rPr>
        <w:t>Notify affected individuals and, where required, the relevant data protection authority, within 72 hours of becoming aware of the breach (as required under GDPR) or within the timeframe prescribed by the DPDP Act</w:t>
      </w:r>
    </w:p>
    <w:p w14:paraId="5577FD03">
      <w:pPr>
        <w:pStyle w:val="16"/>
        <w:numPr>
          <w:ilvl w:val="0"/>
          <w:numId w:val="2"/>
        </w:numPr>
        <w:spacing w:after="100"/>
      </w:pPr>
      <w:r>
        <w:rPr>
          <w:rFonts w:ascii="Arial" w:hAnsi="Arial" w:eastAsia="Arial" w:cs="Arial"/>
          <w:color w:val="2C2C2C"/>
          <w:sz w:val="21"/>
          <w:szCs w:val="21"/>
        </w:rPr>
        <w:t>Provide affected individuals with information about the nature of the breach, the data involved, likely consequences, and measures taken or proposed to address it</w:t>
      </w:r>
    </w:p>
    <w:p w14:paraId="10475F2A">
      <w:pPr>
        <w:pStyle w:val="16"/>
        <w:numPr>
          <w:ilvl w:val="0"/>
          <w:numId w:val="2"/>
        </w:numPr>
        <w:spacing w:after="100"/>
      </w:pPr>
      <w:r>
        <w:rPr>
          <w:rFonts w:ascii="Arial" w:hAnsi="Arial" w:eastAsia="Arial" w:cs="Arial"/>
          <w:color w:val="2C2C2C"/>
          <w:sz w:val="21"/>
          <w:szCs w:val="21"/>
        </w:rPr>
        <w:t>Maintain a record of all data breaches, including those not required to be reported, for internal review and regulatory compliance</w:t>
      </w:r>
    </w:p>
    <w:p w14:paraId="707FB8CA">
      <w:pPr>
        <w:spacing w:after="120"/>
        <w:jc w:val="both"/>
      </w:pPr>
      <w:r>
        <w:rPr>
          <w:rFonts w:ascii="Arial" w:hAnsi="Arial" w:eastAsia="Arial" w:cs="Arial"/>
          <w:color w:val="2C2C2C"/>
          <w:sz w:val="21"/>
          <w:szCs w:val="21"/>
        </w:rPr>
        <w:t>YUGM AI maintains a data breach response plan that is reviewed and updated annually.</w:t>
      </w:r>
    </w:p>
    <w:p w14:paraId="2E5F4D86">
      <w:pPr>
        <w:pStyle w:val="3"/>
        <w:spacing w:before="280" w:after="100"/>
      </w:pPr>
      <w:r>
        <w:rPr>
          <w:rFonts w:ascii="Arial" w:hAnsi="Arial" w:eastAsia="Arial" w:cs="Arial"/>
          <w:b/>
          <w:bCs/>
          <w:color w:val="1A1A1A"/>
          <w:sz w:val="24"/>
          <w:szCs w:val="24"/>
        </w:rPr>
        <w:t>8.3 Limitations of Security</w:t>
      </w:r>
    </w:p>
    <w:p w14:paraId="66479E38">
      <w:pPr>
        <w:spacing w:after="120"/>
        <w:jc w:val="both"/>
      </w:pPr>
      <w:r>
        <w:rPr>
          <w:rFonts w:ascii="Arial" w:hAnsi="Arial" w:eastAsia="Arial" w:cs="Arial"/>
          <w:color w:val="2C2C2C"/>
          <w:sz w:val="21"/>
          <w:szCs w:val="21"/>
        </w:rPr>
        <w:t>While YUGM AI takes all reasonable measures to protect personal data, no method of electronic transmission or storage is completely secure. Users are responsible for maintaining the security of their own account credentials and should notify us immediately at info@yugmai.in if they suspect unauthorised access to their account.</w:t>
      </w:r>
    </w:p>
    <w:p w14:paraId="5428B535">
      <w:pPr>
        <w:pBdr>
          <w:bottom w:val="single" w:color="DDDDDD" w:sz="2" w:space="4"/>
        </w:pBdr>
        <w:spacing w:before="160" w:after="160"/>
      </w:pPr>
    </w:p>
    <w:p w14:paraId="0CCA4510">
      <w:pPr>
        <w:pStyle w:val="2"/>
        <w:pBdr>
          <w:bottom w:val="single" w:color="1A56A0" w:sz="8" w:space="6"/>
        </w:pBdr>
        <w:spacing w:before="400" w:after="160"/>
      </w:pPr>
      <w:r>
        <w:rPr>
          <w:rFonts w:ascii="Arial" w:hAnsi="Arial" w:eastAsia="Arial" w:cs="Arial"/>
          <w:b/>
          <w:bCs/>
          <w:color w:val="1A56A0"/>
          <w:sz w:val="30"/>
          <w:szCs w:val="30"/>
        </w:rPr>
        <w:t>SECTION 9: COOKIES AND TRACKING TECHNOLOGIES</w:t>
      </w:r>
    </w:p>
    <w:p w14:paraId="19E4D78A">
      <w:pPr>
        <w:pStyle w:val="3"/>
        <w:spacing w:before="280" w:after="100"/>
      </w:pPr>
      <w:r>
        <w:rPr>
          <w:rFonts w:ascii="Arial" w:hAnsi="Arial" w:eastAsia="Arial" w:cs="Arial"/>
          <w:b/>
          <w:bCs/>
          <w:color w:val="1A1A1A"/>
          <w:sz w:val="24"/>
          <w:szCs w:val="24"/>
        </w:rPr>
        <w:t>9.1 What Are Cookies</w:t>
      </w:r>
    </w:p>
    <w:p w14:paraId="30F0018D">
      <w:pPr>
        <w:spacing w:after="120"/>
        <w:jc w:val="both"/>
      </w:pPr>
      <w:r>
        <w:rPr>
          <w:rFonts w:ascii="Arial" w:hAnsi="Arial" w:eastAsia="Arial" w:cs="Arial"/>
          <w:color w:val="2C2C2C"/>
          <w:sz w:val="21"/>
          <w:szCs w:val="21"/>
        </w:rPr>
        <w:t>Cookies are small text files stored on your device when you visit a website. YUGM AI uses cookies and similar technologies (such as local storage and session storage) to ensure our platform functions correctly and to understand how users interact with our website.</w:t>
      </w:r>
    </w:p>
    <w:p w14:paraId="181BFA67">
      <w:pPr>
        <w:pStyle w:val="3"/>
        <w:spacing w:before="280" w:after="100"/>
      </w:pPr>
      <w:r>
        <w:rPr>
          <w:rFonts w:ascii="Arial" w:hAnsi="Arial" w:eastAsia="Arial" w:cs="Arial"/>
          <w:b/>
          <w:bCs/>
          <w:color w:val="1A1A1A"/>
          <w:sz w:val="24"/>
          <w:szCs w:val="24"/>
        </w:rPr>
        <w:t>9.2 Types of Cookies We Use</w:t>
      </w:r>
    </w:p>
    <w:p w14:paraId="4A597BFD">
      <w:pPr>
        <w:pStyle w:val="16"/>
        <w:numPr>
          <w:ilvl w:val="0"/>
          <w:numId w:val="1"/>
        </w:numPr>
        <w:spacing w:after="80"/>
      </w:pPr>
      <w:r>
        <w:rPr>
          <w:rFonts w:ascii="Arial" w:hAnsi="Arial" w:eastAsia="Arial" w:cs="Arial"/>
          <w:b/>
          <w:bCs/>
          <w:color w:val="1A1A1A"/>
          <w:sz w:val="21"/>
          <w:szCs w:val="21"/>
        </w:rPr>
        <w:t xml:space="preserve">Strictly Necessary Cookies: </w:t>
      </w:r>
      <w:r>
        <w:rPr>
          <w:rFonts w:ascii="Arial" w:hAnsi="Arial" w:eastAsia="Arial" w:cs="Arial"/>
          <w:color w:val="2C2C2C"/>
          <w:sz w:val="21"/>
          <w:szCs w:val="21"/>
        </w:rPr>
        <w:t>Required for the platform to operate. These include session tokens, login authentication cookies, and security cookies. These cannot be disabled without affecting core platform functionality</w:t>
      </w:r>
    </w:p>
    <w:p w14:paraId="3638EDC2">
      <w:pPr>
        <w:pStyle w:val="16"/>
        <w:numPr>
          <w:ilvl w:val="0"/>
          <w:numId w:val="1"/>
        </w:numPr>
        <w:spacing w:after="80"/>
      </w:pPr>
      <w:r>
        <w:rPr>
          <w:rFonts w:ascii="Arial" w:hAnsi="Arial" w:eastAsia="Arial" w:cs="Arial"/>
          <w:b/>
          <w:bCs/>
          <w:color w:val="1A1A1A"/>
          <w:sz w:val="21"/>
          <w:szCs w:val="21"/>
        </w:rPr>
        <w:t xml:space="preserve">Functional Cookies: </w:t>
      </w:r>
      <w:r>
        <w:rPr>
          <w:rFonts w:ascii="Arial" w:hAnsi="Arial" w:eastAsia="Arial" w:cs="Arial"/>
          <w:color w:val="2C2C2C"/>
          <w:sz w:val="21"/>
          <w:szCs w:val="21"/>
        </w:rPr>
        <w:t>Enable enhanced features such as remembering your language preference, dashboard settings, and recently viewed projects</w:t>
      </w:r>
    </w:p>
    <w:p w14:paraId="001ED57F">
      <w:pPr>
        <w:pStyle w:val="16"/>
        <w:numPr>
          <w:ilvl w:val="0"/>
          <w:numId w:val="1"/>
        </w:numPr>
        <w:spacing w:after="80"/>
      </w:pPr>
      <w:r>
        <w:rPr>
          <w:rFonts w:ascii="Arial" w:hAnsi="Arial" w:eastAsia="Arial" w:cs="Arial"/>
          <w:b/>
          <w:bCs/>
          <w:color w:val="1A1A1A"/>
          <w:sz w:val="21"/>
          <w:szCs w:val="21"/>
        </w:rPr>
        <w:t xml:space="preserve">Analytics Cookies: </w:t>
      </w:r>
      <w:r>
        <w:rPr>
          <w:rFonts w:ascii="Arial" w:hAnsi="Arial" w:eastAsia="Arial" w:cs="Arial"/>
          <w:color w:val="2C2C2C"/>
          <w:sz w:val="21"/>
          <w:szCs w:val="21"/>
        </w:rPr>
        <w:t>Collect anonymised information about how visitors navigate our website, which pages are most visited, and where users drop off. This helps us improve usability. We use tools such as Google Analytics or equivalent, configured to anonymise IP addresses</w:t>
      </w:r>
    </w:p>
    <w:p w14:paraId="4E96EBF2">
      <w:pPr>
        <w:pStyle w:val="16"/>
        <w:numPr>
          <w:ilvl w:val="0"/>
          <w:numId w:val="1"/>
        </w:numPr>
        <w:spacing w:after="80"/>
      </w:pPr>
      <w:r>
        <w:rPr>
          <w:rFonts w:ascii="Arial" w:hAnsi="Arial" w:eastAsia="Arial" w:cs="Arial"/>
          <w:b/>
          <w:bCs/>
          <w:color w:val="1A1A1A"/>
          <w:sz w:val="21"/>
          <w:szCs w:val="21"/>
        </w:rPr>
        <w:t xml:space="preserve">Performance Cookies: </w:t>
      </w:r>
      <w:r>
        <w:rPr>
          <w:rFonts w:ascii="Arial" w:hAnsi="Arial" w:eastAsia="Arial" w:cs="Arial"/>
          <w:color w:val="2C2C2C"/>
          <w:sz w:val="21"/>
          <w:szCs w:val="21"/>
        </w:rPr>
        <w:t>Monitor platform performance such as page load times and error rates to ensure technical stability</w:t>
      </w:r>
    </w:p>
    <w:p w14:paraId="7B8E7BB0">
      <w:pPr>
        <w:pStyle w:val="3"/>
        <w:spacing w:before="280" w:after="100"/>
      </w:pPr>
      <w:r>
        <w:rPr>
          <w:rFonts w:ascii="Arial" w:hAnsi="Arial" w:eastAsia="Arial" w:cs="Arial"/>
          <w:b/>
          <w:bCs/>
          <w:color w:val="1A1A1A"/>
          <w:sz w:val="24"/>
          <w:szCs w:val="24"/>
        </w:rPr>
        <w:t>9.3 What We Do Not Use Cookies For</w:t>
      </w:r>
    </w:p>
    <w:p w14:paraId="470ADC49">
      <w:pPr>
        <w:pStyle w:val="16"/>
        <w:numPr>
          <w:ilvl w:val="0"/>
          <w:numId w:val="1"/>
        </w:numPr>
        <w:spacing w:after="80"/>
      </w:pPr>
      <w:r>
        <w:rPr>
          <w:rFonts w:ascii="Arial" w:hAnsi="Arial" w:eastAsia="Arial" w:cs="Arial"/>
          <w:color w:val="2C2C2C"/>
          <w:sz w:val="21"/>
          <w:szCs w:val="21"/>
        </w:rPr>
        <w:t>Behavioural advertising or retargeting</w:t>
      </w:r>
    </w:p>
    <w:p w14:paraId="05D72B12">
      <w:pPr>
        <w:pStyle w:val="16"/>
        <w:numPr>
          <w:ilvl w:val="0"/>
          <w:numId w:val="1"/>
        </w:numPr>
        <w:spacing w:after="80"/>
      </w:pPr>
      <w:r>
        <w:rPr>
          <w:rFonts w:ascii="Arial" w:hAnsi="Arial" w:eastAsia="Arial" w:cs="Arial"/>
          <w:color w:val="2C2C2C"/>
          <w:sz w:val="21"/>
          <w:szCs w:val="21"/>
        </w:rPr>
        <w:t>Cross-site tracking for commercial profiling</w:t>
      </w:r>
    </w:p>
    <w:p w14:paraId="5F81FFD3">
      <w:pPr>
        <w:pStyle w:val="16"/>
        <w:numPr>
          <w:ilvl w:val="0"/>
          <w:numId w:val="1"/>
        </w:numPr>
        <w:spacing w:after="80"/>
      </w:pPr>
      <w:r>
        <w:rPr>
          <w:rFonts w:ascii="Arial" w:hAnsi="Arial" w:eastAsia="Arial" w:cs="Arial"/>
          <w:color w:val="2C2C2C"/>
          <w:sz w:val="21"/>
          <w:szCs w:val="21"/>
        </w:rPr>
        <w:t>Sharing cookie data with advertising networks</w:t>
      </w:r>
    </w:p>
    <w:p w14:paraId="1EC317F1">
      <w:pPr>
        <w:pStyle w:val="3"/>
        <w:spacing w:before="280" w:after="100"/>
      </w:pPr>
      <w:r>
        <w:rPr>
          <w:rFonts w:ascii="Arial" w:hAnsi="Arial" w:eastAsia="Arial" w:cs="Arial"/>
          <w:b/>
          <w:bCs/>
          <w:color w:val="1A1A1A"/>
          <w:sz w:val="24"/>
          <w:szCs w:val="24"/>
        </w:rPr>
        <w:t>9.4 Managing Cookies</w:t>
      </w:r>
    </w:p>
    <w:p w14:paraId="7A0324F0">
      <w:pPr>
        <w:spacing w:after="120"/>
        <w:jc w:val="both"/>
      </w:pPr>
      <w:r>
        <w:rPr>
          <w:rFonts w:ascii="Arial" w:hAnsi="Arial" w:eastAsia="Arial" w:cs="Arial"/>
          <w:color w:val="2C2C2C"/>
          <w:sz w:val="21"/>
          <w:szCs w:val="21"/>
        </w:rPr>
        <w:t>You may control cookies through your browser settings. Most browsers allow you to refuse cookies, delete existing cookies, or receive alerts before cookies are stored. Please note that disabling strictly necessary cookies will impair your ability to use the platform. For more information on managing cookies, visit your browser’s help section.</w:t>
      </w:r>
    </w:p>
    <w:p w14:paraId="7FAF8CF1">
      <w:pPr>
        <w:pBdr>
          <w:bottom w:val="single" w:color="DDDDDD" w:sz="2" w:space="4"/>
        </w:pBdr>
        <w:spacing w:before="160" w:after="160"/>
      </w:pPr>
    </w:p>
    <w:p w14:paraId="30E5D2B5">
      <w:pPr>
        <w:pStyle w:val="2"/>
        <w:pBdr>
          <w:bottom w:val="single" w:color="1A56A0" w:sz="8" w:space="6"/>
        </w:pBdr>
        <w:spacing w:before="400" w:after="160"/>
      </w:pPr>
      <w:r>
        <w:rPr>
          <w:rFonts w:ascii="Arial" w:hAnsi="Arial" w:eastAsia="Arial" w:cs="Arial"/>
          <w:b/>
          <w:bCs/>
          <w:color w:val="1A56A0"/>
          <w:sz w:val="30"/>
          <w:szCs w:val="30"/>
        </w:rPr>
        <w:t>SECTION 10: YOUR RIGHTS AS A DATA PRINCIPAL</w:t>
      </w:r>
    </w:p>
    <w:p w14:paraId="3F4B23C4">
      <w:pPr>
        <w:spacing w:after="120"/>
        <w:jc w:val="both"/>
      </w:pPr>
      <w:r>
        <w:rPr>
          <w:rFonts w:ascii="Arial" w:hAnsi="Arial" w:eastAsia="Arial" w:cs="Arial"/>
          <w:color w:val="2C2C2C"/>
          <w:sz w:val="21"/>
          <w:szCs w:val="21"/>
        </w:rPr>
        <w:t>Under the DPDP Act 2023, GDPR, and other applicable laws, individuals whose data we process have the following rights. YUGM AI is committed to honouring these rights promptly and without unnecessary barriers.</w:t>
      </w:r>
    </w:p>
    <w:p w14:paraId="74D01026">
      <w:pPr>
        <w:pStyle w:val="3"/>
        <w:spacing w:before="280" w:after="100"/>
      </w:pPr>
      <w:r>
        <w:rPr>
          <w:rFonts w:ascii="Arial" w:hAnsi="Arial" w:eastAsia="Arial" w:cs="Arial"/>
          <w:b/>
          <w:bCs/>
          <w:color w:val="1A1A1A"/>
          <w:sz w:val="24"/>
          <w:szCs w:val="24"/>
        </w:rPr>
        <w:t>10.1 Right to Access</w:t>
      </w:r>
    </w:p>
    <w:p w14:paraId="23947F26">
      <w:pPr>
        <w:spacing w:after="120"/>
        <w:jc w:val="both"/>
      </w:pPr>
      <w:r>
        <w:rPr>
          <w:rFonts w:ascii="Arial" w:hAnsi="Arial" w:eastAsia="Arial" w:cs="Arial"/>
          <w:color w:val="2C2C2C"/>
          <w:sz w:val="21"/>
          <w:szCs w:val="21"/>
        </w:rPr>
        <w:t>You have the right to request a copy of the personal data YUGM AI holds about you. Upon a verified request, we will provide a summary of the data we hold, the purposes for which it is processed, and the categories of third parties with whom it has been shared. We will respond within 30 days of receiving a verified request.</w:t>
      </w:r>
    </w:p>
    <w:p w14:paraId="7CC92852">
      <w:pPr>
        <w:pStyle w:val="3"/>
        <w:spacing w:before="280" w:after="100"/>
      </w:pPr>
      <w:r>
        <w:rPr>
          <w:rFonts w:ascii="Arial" w:hAnsi="Arial" w:eastAsia="Arial" w:cs="Arial"/>
          <w:b/>
          <w:bCs/>
          <w:color w:val="1A1A1A"/>
          <w:sz w:val="24"/>
          <w:szCs w:val="24"/>
        </w:rPr>
        <w:t>10.2 Right to Correction</w:t>
      </w:r>
    </w:p>
    <w:p w14:paraId="6F32F4A5">
      <w:pPr>
        <w:spacing w:after="120"/>
        <w:jc w:val="both"/>
      </w:pPr>
      <w:r>
        <w:rPr>
          <w:rFonts w:ascii="Arial" w:hAnsi="Arial" w:eastAsia="Arial" w:cs="Arial"/>
          <w:color w:val="2C2C2C"/>
          <w:sz w:val="21"/>
          <w:szCs w:val="21"/>
        </w:rPr>
        <w:t>You have the right to request correction of personal data that is inaccurate or incomplete. You may update most profile data directly through your dashboard. For identity documents or payment data, please contact us at info@yugmai.in.</w:t>
      </w:r>
    </w:p>
    <w:p w14:paraId="1A371951">
      <w:pPr>
        <w:pStyle w:val="3"/>
        <w:spacing w:before="280" w:after="100"/>
      </w:pPr>
      <w:r>
        <w:rPr>
          <w:rFonts w:ascii="Arial" w:hAnsi="Arial" w:eastAsia="Arial" w:cs="Arial"/>
          <w:b/>
          <w:bCs/>
          <w:color w:val="1A1A1A"/>
          <w:sz w:val="24"/>
          <w:szCs w:val="24"/>
        </w:rPr>
        <w:t>10.3 Right to Erasure (‘Right to be Forgotten’)</w:t>
      </w:r>
    </w:p>
    <w:p w14:paraId="783A5925">
      <w:pPr>
        <w:spacing w:after="120"/>
        <w:jc w:val="both"/>
      </w:pPr>
      <w:r>
        <w:rPr>
          <w:rFonts w:ascii="Arial" w:hAnsi="Arial" w:eastAsia="Arial" w:cs="Arial"/>
          <w:color w:val="2C2C2C"/>
          <w:sz w:val="21"/>
          <w:szCs w:val="21"/>
        </w:rPr>
        <w:t>You may request deletion of your personal data where:</w:t>
      </w:r>
    </w:p>
    <w:p w14:paraId="4CB58167">
      <w:pPr>
        <w:pStyle w:val="16"/>
        <w:numPr>
          <w:ilvl w:val="0"/>
          <w:numId w:val="1"/>
        </w:numPr>
        <w:spacing w:after="80"/>
      </w:pPr>
      <w:r>
        <w:rPr>
          <w:rFonts w:ascii="Arial" w:hAnsi="Arial" w:eastAsia="Arial" w:cs="Arial"/>
          <w:color w:val="2C2C2C"/>
          <w:sz w:val="21"/>
          <w:szCs w:val="21"/>
        </w:rPr>
        <w:t>The data is no longer necessary for the purposes for which it was collected</w:t>
      </w:r>
    </w:p>
    <w:p w14:paraId="21598033">
      <w:pPr>
        <w:pStyle w:val="16"/>
        <w:numPr>
          <w:ilvl w:val="0"/>
          <w:numId w:val="1"/>
        </w:numPr>
        <w:spacing w:after="80"/>
      </w:pPr>
      <w:r>
        <w:rPr>
          <w:rFonts w:ascii="Arial" w:hAnsi="Arial" w:eastAsia="Arial" w:cs="Arial"/>
          <w:color w:val="2C2C2C"/>
          <w:sz w:val="21"/>
          <w:szCs w:val="21"/>
        </w:rPr>
        <w:t>You withdraw consent and there is no other legal basis for processing</w:t>
      </w:r>
    </w:p>
    <w:p w14:paraId="0E3C4967">
      <w:pPr>
        <w:pStyle w:val="16"/>
        <w:numPr>
          <w:ilvl w:val="0"/>
          <w:numId w:val="1"/>
        </w:numPr>
        <w:spacing w:after="80"/>
      </w:pPr>
      <w:r>
        <w:rPr>
          <w:rFonts w:ascii="Arial" w:hAnsi="Arial" w:eastAsia="Arial" w:cs="Arial"/>
          <w:color w:val="2C2C2C"/>
          <w:sz w:val="21"/>
          <w:szCs w:val="21"/>
        </w:rPr>
        <w:t>You object to processing and there are no overriding legitimate grounds</w:t>
      </w:r>
    </w:p>
    <w:p w14:paraId="0275995F">
      <w:pPr>
        <w:spacing w:after="120"/>
        <w:jc w:val="both"/>
      </w:pPr>
      <w:r>
        <w:rPr>
          <w:rFonts w:ascii="Arial" w:hAnsi="Arial" w:eastAsia="Arial" w:cs="Arial"/>
          <w:color w:val="2C2C2C"/>
          <w:sz w:val="21"/>
          <w:szCs w:val="21"/>
        </w:rPr>
        <w:t>Erasure may be declined or partially fulfilled where we are required to retain data for legal, tax, or contractual obligations. Approved project deliverables cannot be recalled once delivered to a client.</w:t>
      </w:r>
    </w:p>
    <w:p w14:paraId="09BEC782">
      <w:pPr>
        <w:pStyle w:val="3"/>
        <w:spacing w:before="280" w:after="100"/>
      </w:pPr>
      <w:r>
        <w:rPr>
          <w:rFonts w:ascii="Arial" w:hAnsi="Arial" w:eastAsia="Arial" w:cs="Arial"/>
          <w:b/>
          <w:bCs/>
          <w:color w:val="1A1A1A"/>
          <w:sz w:val="24"/>
          <w:szCs w:val="24"/>
        </w:rPr>
        <w:t>10.4 Right to Data Portability</w:t>
      </w:r>
    </w:p>
    <w:p w14:paraId="162A5466">
      <w:pPr>
        <w:spacing w:after="120"/>
        <w:jc w:val="both"/>
      </w:pPr>
      <w:r>
        <w:rPr>
          <w:rFonts w:ascii="Arial" w:hAnsi="Arial" w:eastAsia="Arial" w:cs="Arial"/>
          <w:color w:val="2C2C2C"/>
          <w:sz w:val="21"/>
          <w:szCs w:val="21"/>
        </w:rPr>
        <w:t>You have the right to receive your personal data in a structured, commonly used, machine-readable format and to have it transmitted to another service provider where technically feasible. This right applies to data processed on the basis of consent or contract.</w:t>
      </w:r>
    </w:p>
    <w:p w14:paraId="0E2C5795">
      <w:pPr>
        <w:pStyle w:val="3"/>
        <w:spacing w:before="280" w:after="100"/>
      </w:pPr>
      <w:r>
        <w:rPr>
          <w:rFonts w:ascii="Arial" w:hAnsi="Arial" w:eastAsia="Arial" w:cs="Arial"/>
          <w:b/>
          <w:bCs/>
          <w:color w:val="1A1A1A"/>
          <w:sz w:val="24"/>
          <w:szCs w:val="24"/>
        </w:rPr>
        <w:t>10.5 Right to Restrict Processing</w:t>
      </w:r>
    </w:p>
    <w:p w14:paraId="41E4662F">
      <w:pPr>
        <w:spacing w:after="120"/>
        <w:jc w:val="both"/>
      </w:pPr>
      <w:r>
        <w:rPr>
          <w:rFonts w:ascii="Arial" w:hAnsi="Arial" w:eastAsia="Arial" w:cs="Arial"/>
          <w:color w:val="2C2C2C"/>
          <w:sz w:val="21"/>
          <w:szCs w:val="21"/>
        </w:rPr>
        <w:t>You may request that we restrict the processing of your data in the following circumstances:</w:t>
      </w:r>
    </w:p>
    <w:p w14:paraId="608734BD">
      <w:pPr>
        <w:pStyle w:val="16"/>
        <w:numPr>
          <w:ilvl w:val="0"/>
          <w:numId w:val="1"/>
        </w:numPr>
        <w:spacing w:after="80"/>
      </w:pPr>
      <w:r>
        <w:rPr>
          <w:rFonts w:ascii="Arial" w:hAnsi="Arial" w:eastAsia="Arial" w:cs="Arial"/>
          <w:color w:val="2C2C2C"/>
          <w:sz w:val="21"/>
          <w:szCs w:val="21"/>
        </w:rPr>
        <w:t>You contest the accuracy of the data, pending verification</w:t>
      </w:r>
    </w:p>
    <w:p w14:paraId="75ED1BC3">
      <w:pPr>
        <w:pStyle w:val="16"/>
        <w:numPr>
          <w:ilvl w:val="0"/>
          <w:numId w:val="1"/>
        </w:numPr>
        <w:spacing w:after="80"/>
      </w:pPr>
      <w:r>
        <w:rPr>
          <w:rFonts w:ascii="Arial" w:hAnsi="Arial" w:eastAsia="Arial" w:cs="Arial"/>
          <w:color w:val="2C2C2C"/>
          <w:sz w:val="21"/>
          <w:szCs w:val="21"/>
        </w:rPr>
        <w:t>Processing is unlawful but you prefer restriction over deletion</w:t>
      </w:r>
    </w:p>
    <w:p w14:paraId="0E60BD9F">
      <w:pPr>
        <w:pStyle w:val="16"/>
        <w:numPr>
          <w:ilvl w:val="0"/>
          <w:numId w:val="1"/>
        </w:numPr>
        <w:spacing w:after="80"/>
      </w:pPr>
      <w:r>
        <w:rPr>
          <w:rFonts w:ascii="Arial" w:hAnsi="Arial" w:eastAsia="Arial" w:cs="Arial"/>
          <w:color w:val="2C2C2C"/>
          <w:sz w:val="21"/>
          <w:szCs w:val="21"/>
        </w:rPr>
        <w:t>We no longer need the data but you require it for the establishment, exercise, or defence of legal claims</w:t>
      </w:r>
    </w:p>
    <w:p w14:paraId="7DCD5E5D">
      <w:pPr>
        <w:pStyle w:val="3"/>
        <w:spacing w:before="280" w:after="100"/>
      </w:pPr>
      <w:r>
        <w:rPr>
          <w:rFonts w:ascii="Arial" w:hAnsi="Arial" w:eastAsia="Arial" w:cs="Arial"/>
          <w:b/>
          <w:bCs/>
          <w:color w:val="1A1A1A"/>
          <w:sz w:val="24"/>
          <w:szCs w:val="24"/>
        </w:rPr>
        <w:t>10.6 Right to Object</w:t>
      </w:r>
    </w:p>
    <w:p w14:paraId="3C86B495">
      <w:pPr>
        <w:spacing w:after="120"/>
        <w:jc w:val="both"/>
      </w:pPr>
      <w:r>
        <w:rPr>
          <w:rFonts w:ascii="Arial" w:hAnsi="Arial" w:eastAsia="Arial" w:cs="Arial"/>
          <w:color w:val="2C2C2C"/>
          <w:sz w:val="21"/>
          <w:szCs w:val="21"/>
        </w:rPr>
        <w:t>You have the right to object to processing based on legitimate interests. Where such an objection is raised, YUGM AI will cease processing unless we can demonstrate compelling legitimate grounds that override your interests.</w:t>
      </w:r>
    </w:p>
    <w:p w14:paraId="4BCA3CD0">
      <w:pPr>
        <w:pStyle w:val="3"/>
        <w:spacing w:before="280" w:after="100"/>
      </w:pPr>
      <w:r>
        <w:rPr>
          <w:rFonts w:ascii="Arial" w:hAnsi="Arial" w:eastAsia="Arial" w:cs="Arial"/>
          <w:b/>
          <w:bCs/>
          <w:color w:val="1A1A1A"/>
          <w:sz w:val="24"/>
          <w:szCs w:val="24"/>
        </w:rPr>
        <w:t>10.7 Right to Withdraw Consent</w:t>
      </w:r>
    </w:p>
    <w:p w14:paraId="575EAF92">
      <w:pPr>
        <w:spacing w:after="120"/>
        <w:jc w:val="both"/>
      </w:pPr>
      <w:r>
        <w:rPr>
          <w:rFonts w:ascii="Arial" w:hAnsi="Arial" w:eastAsia="Arial" w:cs="Arial"/>
          <w:color w:val="2C2C2C"/>
          <w:sz w:val="21"/>
          <w:szCs w:val="21"/>
        </w:rPr>
        <w:t>Where processing is based on your consent, you have the right to withdraw that consent at any time. Withdrawal does not affect the lawfulness of processing that took place before the withdrawal. To withdraw consent, contact info@yugmai.in or use the consent management options in your dashboard.</w:t>
      </w:r>
    </w:p>
    <w:p w14:paraId="4471B202">
      <w:pPr>
        <w:pStyle w:val="3"/>
        <w:spacing w:before="280" w:after="100"/>
      </w:pPr>
      <w:r>
        <w:rPr>
          <w:rFonts w:ascii="Arial" w:hAnsi="Arial" w:eastAsia="Arial" w:cs="Arial"/>
          <w:b/>
          <w:bCs/>
          <w:color w:val="1A1A1A"/>
          <w:sz w:val="24"/>
          <w:szCs w:val="24"/>
        </w:rPr>
        <w:t>10.8 Right to Nominate</w:t>
      </w:r>
    </w:p>
    <w:p w14:paraId="5C0F92A5">
      <w:pPr>
        <w:spacing w:after="120"/>
        <w:jc w:val="both"/>
      </w:pPr>
      <w:r>
        <w:rPr>
          <w:rFonts w:ascii="Arial" w:hAnsi="Arial" w:eastAsia="Arial" w:cs="Arial"/>
          <w:color w:val="2C2C2C"/>
          <w:sz w:val="21"/>
          <w:szCs w:val="21"/>
        </w:rPr>
        <w:t>Under the DPDP Act 2023, you have the right to nominate another individual to exercise your data rights on your behalf in the event of your death or incapacity.</w:t>
      </w:r>
    </w:p>
    <w:p w14:paraId="247D56E5">
      <w:pPr>
        <w:pStyle w:val="3"/>
        <w:spacing w:before="280" w:after="100"/>
      </w:pPr>
      <w:r>
        <w:rPr>
          <w:rFonts w:ascii="Arial" w:hAnsi="Arial" w:eastAsia="Arial" w:cs="Arial"/>
          <w:b/>
          <w:bCs/>
          <w:color w:val="1A1A1A"/>
          <w:sz w:val="24"/>
          <w:szCs w:val="24"/>
        </w:rPr>
        <w:t>10.9 How to Exercise Your Rights</w:t>
      </w:r>
    </w:p>
    <w:p w14:paraId="2EC15491">
      <w:pPr>
        <w:spacing w:after="120"/>
        <w:jc w:val="both"/>
      </w:pPr>
      <w:r>
        <w:rPr>
          <w:rFonts w:ascii="Arial" w:hAnsi="Arial" w:eastAsia="Arial" w:cs="Arial"/>
          <w:color w:val="2C2C2C"/>
          <w:sz w:val="21"/>
          <w:szCs w:val="21"/>
        </w:rPr>
        <w:t>To exercise any of the above rights, please contact YUGM AI at:</w:t>
      </w:r>
    </w:p>
    <w:p w14:paraId="45DFEC0C">
      <w:pPr>
        <w:pStyle w:val="16"/>
        <w:numPr>
          <w:ilvl w:val="0"/>
          <w:numId w:val="1"/>
        </w:numPr>
        <w:spacing w:after="80"/>
      </w:pPr>
      <w:r>
        <w:rPr>
          <w:rFonts w:ascii="Arial" w:hAnsi="Arial" w:eastAsia="Arial" w:cs="Arial"/>
          <w:color w:val="2C2C2C"/>
          <w:sz w:val="21"/>
          <w:szCs w:val="21"/>
        </w:rPr>
        <w:t>Email: info@yugmai.in with the subject line “Data Rights Request”</w:t>
      </w:r>
    </w:p>
    <w:p w14:paraId="370398F9">
      <w:pPr>
        <w:pStyle w:val="16"/>
        <w:numPr>
          <w:ilvl w:val="0"/>
          <w:numId w:val="1"/>
        </w:numPr>
        <w:spacing w:after="80"/>
      </w:pPr>
      <w:r>
        <w:rPr>
          <w:rFonts w:ascii="Arial" w:hAnsi="Arial" w:eastAsia="Arial" w:cs="Arial"/>
          <w:color w:val="2C2C2C"/>
          <w:sz w:val="21"/>
          <w:szCs w:val="21"/>
        </w:rPr>
        <w:t>Include your full name, registered email address, and a description of the request</w:t>
      </w:r>
    </w:p>
    <w:p w14:paraId="6AAEE78C">
      <w:pPr>
        <w:pStyle w:val="16"/>
        <w:numPr>
          <w:ilvl w:val="0"/>
          <w:numId w:val="1"/>
        </w:numPr>
        <w:spacing w:after="80"/>
      </w:pPr>
      <w:r>
        <w:rPr>
          <w:rFonts w:ascii="Arial" w:hAnsi="Arial" w:eastAsia="Arial" w:cs="Arial"/>
          <w:color w:val="2C2C2C"/>
          <w:sz w:val="21"/>
          <w:szCs w:val="21"/>
        </w:rPr>
        <w:t>We may require identity verification before processing the request</w:t>
      </w:r>
    </w:p>
    <w:p w14:paraId="40B8CF3C">
      <w:pPr>
        <w:pStyle w:val="16"/>
        <w:numPr>
          <w:ilvl w:val="0"/>
          <w:numId w:val="1"/>
        </w:numPr>
        <w:spacing w:after="80"/>
      </w:pPr>
      <w:r>
        <w:rPr>
          <w:rFonts w:ascii="Arial" w:hAnsi="Arial" w:eastAsia="Arial" w:cs="Arial"/>
          <w:color w:val="2C2C2C"/>
          <w:sz w:val="21"/>
          <w:szCs w:val="21"/>
        </w:rPr>
        <w:t>We will respond within 30 calendar days. Complex requests may take up to 60 days with prior notice</w:t>
      </w:r>
    </w:p>
    <w:p w14:paraId="01D3A209">
      <w:pPr>
        <w:pStyle w:val="3"/>
        <w:spacing w:before="280" w:after="100"/>
      </w:pPr>
      <w:r>
        <w:rPr>
          <w:rFonts w:ascii="Arial" w:hAnsi="Arial" w:eastAsia="Arial" w:cs="Arial"/>
          <w:b/>
          <w:bCs/>
          <w:color w:val="1A1A1A"/>
          <w:sz w:val="24"/>
          <w:szCs w:val="24"/>
        </w:rPr>
        <w:t>10.10 Right to Lodge a Complaint</w:t>
      </w:r>
    </w:p>
    <w:p w14:paraId="7DDBA0AE">
      <w:pPr>
        <w:spacing w:after="120"/>
        <w:jc w:val="both"/>
      </w:pPr>
      <w:r>
        <w:rPr>
          <w:rFonts w:ascii="Arial" w:hAnsi="Arial" w:eastAsia="Arial" w:cs="Arial"/>
          <w:color w:val="2C2C2C"/>
          <w:sz w:val="21"/>
          <w:szCs w:val="21"/>
        </w:rPr>
        <w:t>If you believe YUGM AI has not handled your personal data in accordance with applicable law, you have the right to lodge a complaint with the relevant supervisory authority:</w:t>
      </w:r>
    </w:p>
    <w:p w14:paraId="6D234D3A">
      <w:pPr>
        <w:pStyle w:val="16"/>
        <w:numPr>
          <w:ilvl w:val="0"/>
          <w:numId w:val="1"/>
        </w:numPr>
        <w:spacing w:after="80"/>
      </w:pPr>
      <w:r>
        <w:rPr>
          <w:rFonts w:ascii="Arial" w:hAnsi="Arial" w:eastAsia="Arial" w:cs="Arial"/>
          <w:b/>
          <w:bCs/>
          <w:color w:val="1A1A1A"/>
          <w:sz w:val="21"/>
          <w:szCs w:val="21"/>
        </w:rPr>
        <w:t xml:space="preserve">India: </w:t>
      </w:r>
      <w:r>
        <w:rPr>
          <w:rFonts w:ascii="Arial" w:hAnsi="Arial" w:eastAsia="Arial" w:cs="Arial"/>
          <w:color w:val="2C2C2C"/>
          <w:sz w:val="21"/>
          <w:szCs w:val="21"/>
        </w:rPr>
        <w:t>Data Protection Board of India (once constituted under DPDP Act 2023)</w:t>
      </w:r>
    </w:p>
    <w:p w14:paraId="304B6434">
      <w:pPr>
        <w:pStyle w:val="16"/>
        <w:numPr>
          <w:ilvl w:val="0"/>
          <w:numId w:val="1"/>
        </w:numPr>
        <w:spacing w:after="80"/>
      </w:pPr>
      <w:r>
        <w:rPr>
          <w:rFonts w:ascii="Arial" w:hAnsi="Arial" w:eastAsia="Arial" w:cs="Arial"/>
          <w:b/>
          <w:bCs/>
          <w:color w:val="1A1A1A"/>
          <w:sz w:val="21"/>
          <w:szCs w:val="21"/>
        </w:rPr>
        <w:t xml:space="preserve">European Union: </w:t>
      </w:r>
      <w:r>
        <w:rPr>
          <w:rFonts w:ascii="Arial" w:hAnsi="Arial" w:eastAsia="Arial" w:cs="Arial"/>
          <w:color w:val="2C2C2C"/>
          <w:sz w:val="21"/>
          <w:szCs w:val="21"/>
        </w:rPr>
        <w:t>Your local Data Protection Authority (DPA) in the EU member state of your residence</w:t>
      </w:r>
    </w:p>
    <w:p w14:paraId="0BCC4424">
      <w:pPr>
        <w:pStyle w:val="16"/>
        <w:numPr>
          <w:ilvl w:val="0"/>
          <w:numId w:val="1"/>
        </w:numPr>
        <w:spacing w:after="80"/>
      </w:pPr>
      <w:r>
        <w:rPr>
          <w:rFonts w:ascii="Arial" w:hAnsi="Arial" w:eastAsia="Arial" w:cs="Arial"/>
          <w:b/>
          <w:bCs/>
          <w:color w:val="1A1A1A"/>
          <w:sz w:val="21"/>
          <w:szCs w:val="21"/>
        </w:rPr>
        <w:t xml:space="preserve">United Kingdom: </w:t>
      </w:r>
      <w:r>
        <w:rPr>
          <w:rFonts w:ascii="Arial" w:hAnsi="Arial" w:eastAsia="Arial" w:cs="Arial"/>
          <w:color w:val="2C2C2C"/>
          <w:sz w:val="21"/>
          <w:szCs w:val="21"/>
        </w:rPr>
        <w:t>Information Commissioner’s Office (ICO)</w:t>
      </w:r>
    </w:p>
    <w:p w14:paraId="59899788">
      <w:pPr>
        <w:pBdr>
          <w:bottom w:val="single" w:color="DDDDDD" w:sz="2" w:space="4"/>
        </w:pBdr>
        <w:spacing w:before="160" w:after="160"/>
      </w:pPr>
    </w:p>
    <w:p w14:paraId="6017327D">
      <w:pPr>
        <w:pStyle w:val="2"/>
        <w:pBdr>
          <w:bottom w:val="single" w:color="1A56A0" w:sz="8" w:space="6"/>
        </w:pBdr>
        <w:spacing w:before="400" w:after="160"/>
      </w:pPr>
      <w:r>
        <w:rPr>
          <w:rFonts w:ascii="Arial" w:hAnsi="Arial" w:eastAsia="Arial" w:cs="Arial"/>
          <w:b/>
          <w:bCs/>
          <w:color w:val="1A56A0"/>
          <w:sz w:val="30"/>
          <w:szCs w:val="30"/>
        </w:rPr>
        <w:t>SECTION 11: DATA RETENTION</w:t>
      </w:r>
    </w:p>
    <w:p w14:paraId="0ABA9929">
      <w:pPr>
        <w:pStyle w:val="3"/>
        <w:spacing w:before="280" w:after="100"/>
      </w:pPr>
      <w:r>
        <w:rPr>
          <w:rFonts w:ascii="Arial" w:hAnsi="Arial" w:eastAsia="Arial" w:cs="Arial"/>
          <w:b/>
          <w:bCs/>
          <w:color w:val="1A1A1A"/>
          <w:sz w:val="24"/>
          <w:szCs w:val="24"/>
        </w:rPr>
        <w:t>11.1 Retention Principles</w:t>
      </w:r>
    </w:p>
    <w:p w14:paraId="3843A7E9">
      <w:pPr>
        <w:spacing w:after="120"/>
        <w:jc w:val="both"/>
      </w:pPr>
      <w:r>
        <w:rPr>
          <w:rFonts w:ascii="Arial" w:hAnsi="Arial" w:eastAsia="Arial" w:cs="Arial"/>
          <w:color w:val="2C2C2C"/>
          <w:sz w:val="21"/>
          <w:szCs w:val="21"/>
        </w:rPr>
        <w:t>YUGM AI retains personal data only for as long as is necessary to fulfil the purpose for which it was collected, or as required by applicable law. We apply the principle of storage limitation, ensuring that data is not kept longer than justified.</w:t>
      </w:r>
    </w:p>
    <w:p w14:paraId="7C10EF80">
      <w:pPr>
        <w:pStyle w:val="3"/>
        <w:spacing w:before="280" w:after="100"/>
      </w:pPr>
      <w:r>
        <w:rPr>
          <w:rFonts w:ascii="Arial" w:hAnsi="Arial" w:eastAsia="Arial" w:cs="Arial"/>
          <w:b/>
          <w:bCs/>
          <w:color w:val="1A1A1A"/>
          <w:sz w:val="24"/>
          <w:szCs w:val="24"/>
        </w:rPr>
        <w:t>11.2 Retention Periods by Data Category</w:t>
      </w:r>
    </w:p>
    <w:p w14:paraId="2D44E9C1">
      <w:pPr>
        <w:pStyle w:val="16"/>
        <w:numPr>
          <w:ilvl w:val="0"/>
          <w:numId w:val="1"/>
        </w:numPr>
        <w:spacing w:after="80"/>
      </w:pPr>
      <w:r>
        <w:rPr>
          <w:rFonts w:ascii="Arial" w:hAnsi="Arial" w:eastAsia="Arial" w:cs="Arial"/>
          <w:b/>
          <w:bCs/>
          <w:color w:val="1A1A1A"/>
          <w:sz w:val="21"/>
          <w:szCs w:val="21"/>
        </w:rPr>
        <w:t xml:space="preserve">Account and Profile Data: </w:t>
      </w:r>
      <w:r>
        <w:rPr>
          <w:rFonts w:ascii="Arial" w:hAnsi="Arial" w:eastAsia="Arial" w:cs="Arial"/>
          <w:color w:val="2C2C2C"/>
          <w:sz w:val="21"/>
          <w:szCs w:val="21"/>
        </w:rPr>
        <w:t>Retained for the duration of the active account relationship, plus 12 months following account deletion or termination</w:t>
      </w:r>
    </w:p>
    <w:p w14:paraId="2ACFB029">
      <w:pPr>
        <w:pStyle w:val="16"/>
        <w:numPr>
          <w:ilvl w:val="0"/>
          <w:numId w:val="1"/>
        </w:numPr>
        <w:spacing w:after="80"/>
      </w:pPr>
      <w:r>
        <w:rPr>
          <w:rFonts w:ascii="Arial" w:hAnsi="Arial" w:eastAsia="Arial" w:cs="Arial"/>
          <w:b/>
          <w:bCs/>
          <w:color w:val="1A1A1A"/>
          <w:sz w:val="21"/>
          <w:szCs w:val="21"/>
        </w:rPr>
        <w:t xml:space="preserve">Identity Verification Documents: </w:t>
      </w:r>
      <w:r>
        <w:rPr>
          <w:rFonts w:ascii="Arial" w:hAnsi="Arial" w:eastAsia="Arial" w:cs="Arial"/>
          <w:color w:val="2C2C2C"/>
          <w:sz w:val="21"/>
          <w:szCs w:val="21"/>
        </w:rPr>
        <w:t>Retained for 5 years from the date of verification to comply with KYC and anti-money laundering regulations</w:t>
      </w:r>
    </w:p>
    <w:p w14:paraId="00FDBA7F">
      <w:pPr>
        <w:pStyle w:val="16"/>
        <w:numPr>
          <w:ilvl w:val="0"/>
          <w:numId w:val="1"/>
        </w:numPr>
        <w:spacing w:after="80"/>
      </w:pPr>
      <w:r>
        <w:rPr>
          <w:rFonts w:ascii="Arial" w:hAnsi="Arial" w:eastAsia="Arial" w:cs="Arial"/>
          <w:b/>
          <w:bCs/>
          <w:color w:val="1A1A1A"/>
          <w:sz w:val="21"/>
          <w:szCs w:val="21"/>
        </w:rPr>
        <w:t xml:space="preserve">Payment and Financial Records: </w:t>
      </w:r>
      <w:r>
        <w:rPr>
          <w:rFonts w:ascii="Arial" w:hAnsi="Arial" w:eastAsia="Arial" w:cs="Arial"/>
          <w:color w:val="2C2C2C"/>
          <w:sz w:val="21"/>
          <w:szCs w:val="21"/>
        </w:rPr>
        <w:t>Retained for a minimum of 7 years in compliance with Indian income tax and GST regulations</w:t>
      </w:r>
    </w:p>
    <w:p w14:paraId="5F7637DD">
      <w:pPr>
        <w:pStyle w:val="16"/>
        <w:numPr>
          <w:ilvl w:val="0"/>
          <w:numId w:val="1"/>
        </w:numPr>
        <w:spacing w:after="80"/>
      </w:pPr>
      <w:r>
        <w:rPr>
          <w:rFonts w:ascii="Arial" w:hAnsi="Arial" w:eastAsia="Arial" w:cs="Arial"/>
          <w:b/>
          <w:bCs/>
          <w:color w:val="1A1A1A"/>
          <w:sz w:val="21"/>
          <w:szCs w:val="21"/>
        </w:rPr>
        <w:t xml:space="preserve">Project Deliverables (Work Output): </w:t>
      </w:r>
      <w:r>
        <w:rPr>
          <w:rFonts w:ascii="Arial" w:hAnsi="Arial" w:eastAsia="Arial" w:cs="Arial"/>
          <w:color w:val="2C2C2C"/>
          <w:sz w:val="21"/>
          <w:szCs w:val="21"/>
        </w:rPr>
        <w:t>Retained as per the terms of the applicable Client Service Agreement, typically 12–24 months after delivery unless specified otherwise</w:t>
      </w:r>
    </w:p>
    <w:p w14:paraId="2C1F377D">
      <w:pPr>
        <w:pStyle w:val="16"/>
        <w:numPr>
          <w:ilvl w:val="0"/>
          <w:numId w:val="1"/>
        </w:numPr>
        <w:spacing w:after="80"/>
      </w:pPr>
      <w:r>
        <w:rPr>
          <w:rFonts w:ascii="Arial" w:hAnsi="Arial" w:eastAsia="Arial" w:cs="Arial"/>
          <w:b/>
          <w:bCs/>
          <w:color w:val="1A1A1A"/>
          <w:sz w:val="21"/>
          <w:szCs w:val="21"/>
        </w:rPr>
        <w:t xml:space="preserve">Performance and Quality Data: </w:t>
      </w:r>
      <w:r>
        <w:rPr>
          <w:rFonts w:ascii="Arial" w:hAnsi="Arial" w:eastAsia="Arial" w:cs="Arial"/>
          <w:color w:val="2C2C2C"/>
          <w:sz w:val="21"/>
          <w:szCs w:val="21"/>
        </w:rPr>
        <w:t>Retained for the duration of the contributor or vendor relationship, plus 12 months</w:t>
      </w:r>
    </w:p>
    <w:p w14:paraId="23AA99A8">
      <w:pPr>
        <w:pStyle w:val="16"/>
        <w:numPr>
          <w:ilvl w:val="0"/>
          <w:numId w:val="1"/>
        </w:numPr>
        <w:spacing w:after="80"/>
      </w:pPr>
      <w:r>
        <w:rPr>
          <w:rFonts w:ascii="Arial" w:hAnsi="Arial" w:eastAsia="Arial" w:cs="Arial"/>
          <w:b/>
          <w:bCs/>
          <w:color w:val="1A1A1A"/>
          <w:sz w:val="21"/>
          <w:szCs w:val="21"/>
        </w:rPr>
        <w:t xml:space="preserve">Communication Logs: </w:t>
      </w:r>
      <w:r>
        <w:rPr>
          <w:rFonts w:ascii="Arial" w:hAnsi="Arial" w:eastAsia="Arial" w:cs="Arial"/>
          <w:color w:val="2C2C2C"/>
          <w:sz w:val="21"/>
          <w:szCs w:val="21"/>
        </w:rPr>
        <w:t>Retained for 2 years from the date of last communication</w:t>
      </w:r>
    </w:p>
    <w:p w14:paraId="26436B64">
      <w:pPr>
        <w:pStyle w:val="16"/>
        <w:numPr>
          <w:ilvl w:val="0"/>
          <w:numId w:val="1"/>
        </w:numPr>
        <w:spacing w:after="80"/>
      </w:pPr>
      <w:r>
        <w:rPr>
          <w:rFonts w:ascii="Arial" w:hAnsi="Arial" w:eastAsia="Arial" w:cs="Arial"/>
          <w:b/>
          <w:bCs/>
          <w:color w:val="1A1A1A"/>
          <w:sz w:val="21"/>
          <w:szCs w:val="21"/>
        </w:rPr>
        <w:t xml:space="preserve">Security and Access Logs: </w:t>
      </w:r>
      <w:r>
        <w:rPr>
          <w:rFonts w:ascii="Arial" w:hAnsi="Arial" w:eastAsia="Arial" w:cs="Arial"/>
          <w:color w:val="2C2C2C"/>
          <w:sz w:val="21"/>
          <w:szCs w:val="21"/>
        </w:rPr>
        <w:t>Retained for 12 months for security monitoring and fraud detection</w:t>
      </w:r>
    </w:p>
    <w:p w14:paraId="78780A20">
      <w:pPr>
        <w:pStyle w:val="16"/>
        <w:numPr>
          <w:ilvl w:val="0"/>
          <w:numId w:val="1"/>
        </w:numPr>
        <w:spacing w:after="80"/>
      </w:pPr>
      <w:r>
        <w:rPr>
          <w:rFonts w:ascii="Arial" w:hAnsi="Arial" w:eastAsia="Arial" w:cs="Arial"/>
          <w:b/>
          <w:bCs/>
          <w:color w:val="1A1A1A"/>
          <w:sz w:val="21"/>
          <w:szCs w:val="21"/>
        </w:rPr>
        <w:t xml:space="preserve">Cookies and Analytics Data: </w:t>
      </w:r>
      <w:r>
        <w:rPr>
          <w:rFonts w:ascii="Arial" w:hAnsi="Arial" w:eastAsia="Arial" w:cs="Arial"/>
          <w:color w:val="2C2C2C"/>
          <w:sz w:val="21"/>
          <w:szCs w:val="21"/>
        </w:rPr>
        <w:t>Session cookies expire at session end; persistent cookies expire within 12 months</w:t>
      </w:r>
    </w:p>
    <w:p w14:paraId="55EF1A33">
      <w:pPr>
        <w:pStyle w:val="3"/>
        <w:spacing w:before="280" w:after="100"/>
      </w:pPr>
      <w:r>
        <w:rPr>
          <w:rFonts w:ascii="Arial" w:hAnsi="Arial" w:eastAsia="Arial" w:cs="Arial"/>
          <w:b/>
          <w:bCs/>
          <w:color w:val="1A1A1A"/>
          <w:sz w:val="24"/>
          <w:szCs w:val="24"/>
        </w:rPr>
        <w:t>11.3 Deletion Procedure</w:t>
      </w:r>
    </w:p>
    <w:p w14:paraId="710ABDDD">
      <w:pPr>
        <w:spacing w:after="120"/>
        <w:jc w:val="both"/>
      </w:pPr>
      <w:r>
        <w:rPr>
          <w:rFonts w:ascii="Arial" w:hAnsi="Arial" w:eastAsia="Arial" w:cs="Arial"/>
          <w:color w:val="2C2C2C"/>
          <w:sz w:val="21"/>
          <w:szCs w:val="21"/>
        </w:rPr>
        <w:t>Upon expiry of the applicable retention period or upon a verified deletion request, YUGM AI will:</w:t>
      </w:r>
    </w:p>
    <w:p w14:paraId="773413C5">
      <w:pPr>
        <w:pStyle w:val="16"/>
        <w:numPr>
          <w:ilvl w:val="0"/>
          <w:numId w:val="1"/>
        </w:numPr>
        <w:spacing w:after="80"/>
      </w:pPr>
      <w:r>
        <w:rPr>
          <w:rFonts w:ascii="Arial" w:hAnsi="Arial" w:eastAsia="Arial" w:cs="Arial"/>
          <w:color w:val="2C2C2C"/>
          <w:sz w:val="21"/>
          <w:szCs w:val="21"/>
        </w:rPr>
        <w:t>Delete data from active databases and file systems</w:t>
      </w:r>
    </w:p>
    <w:p w14:paraId="415710EE">
      <w:pPr>
        <w:pStyle w:val="16"/>
        <w:numPr>
          <w:ilvl w:val="0"/>
          <w:numId w:val="1"/>
        </w:numPr>
        <w:spacing w:after="80"/>
      </w:pPr>
      <w:r>
        <w:rPr>
          <w:rFonts w:ascii="Arial" w:hAnsi="Arial" w:eastAsia="Arial" w:cs="Arial"/>
          <w:color w:val="2C2C2C"/>
          <w:sz w:val="21"/>
          <w:szCs w:val="21"/>
        </w:rPr>
        <w:t>Anonymise data where deletion is not technically feasible (e.g., in aggregated reporting systems)</w:t>
      </w:r>
    </w:p>
    <w:p w14:paraId="5B8F92B3">
      <w:pPr>
        <w:pStyle w:val="16"/>
        <w:numPr>
          <w:ilvl w:val="0"/>
          <w:numId w:val="1"/>
        </w:numPr>
        <w:spacing w:after="80"/>
      </w:pPr>
      <w:r>
        <w:rPr>
          <w:rFonts w:ascii="Arial" w:hAnsi="Arial" w:eastAsia="Arial" w:cs="Arial"/>
          <w:color w:val="2C2C2C"/>
          <w:sz w:val="21"/>
          <w:szCs w:val="21"/>
        </w:rPr>
        <w:t>Ensure deletion is reflected in backup systems within 90 days</w:t>
      </w:r>
    </w:p>
    <w:p w14:paraId="16FB0D42">
      <w:pPr>
        <w:pStyle w:val="16"/>
        <w:numPr>
          <w:ilvl w:val="0"/>
          <w:numId w:val="1"/>
        </w:numPr>
        <w:spacing w:after="80"/>
      </w:pPr>
      <w:r>
        <w:rPr>
          <w:rFonts w:ascii="Arial" w:hAnsi="Arial" w:eastAsia="Arial" w:cs="Arial"/>
          <w:color w:val="2C2C2C"/>
          <w:sz w:val="21"/>
          <w:szCs w:val="21"/>
        </w:rPr>
        <w:t>Provide written confirmation of deletion upon request</w:t>
      </w:r>
    </w:p>
    <w:p w14:paraId="26159A10">
      <w:pPr>
        <w:pBdr>
          <w:bottom w:val="single" w:color="DDDDDD" w:sz="2" w:space="4"/>
        </w:pBdr>
        <w:spacing w:before="160" w:after="160"/>
      </w:pPr>
    </w:p>
    <w:p w14:paraId="3FC38685">
      <w:pPr>
        <w:pStyle w:val="2"/>
        <w:pBdr>
          <w:bottom w:val="single" w:color="1A56A0" w:sz="8" w:space="6"/>
        </w:pBdr>
        <w:spacing w:before="400" w:after="160"/>
      </w:pPr>
      <w:r>
        <w:rPr>
          <w:rFonts w:ascii="Arial" w:hAnsi="Arial" w:eastAsia="Arial" w:cs="Arial"/>
          <w:b/>
          <w:bCs/>
          <w:color w:val="1A56A0"/>
          <w:sz w:val="30"/>
          <w:szCs w:val="30"/>
        </w:rPr>
        <w:t>SECTION 12: INTERNATIONAL DATA TRANSFERS</w:t>
      </w:r>
    </w:p>
    <w:p w14:paraId="18026AA7">
      <w:pPr>
        <w:pStyle w:val="3"/>
        <w:spacing w:before="280" w:after="100"/>
      </w:pPr>
      <w:r>
        <w:rPr>
          <w:rFonts w:ascii="Arial" w:hAnsi="Arial" w:eastAsia="Arial" w:cs="Arial"/>
          <w:b/>
          <w:bCs/>
          <w:color w:val="1A1A1A"/>
          <w:sz w:val="24"/>
          <w:szCs w:val="24"/>
        </w:rPr>
        <w:t>12.1 Cross-Border Transfers</w:t>
      </w:r>
    </w:p>
    <w:p w14:paraId="6D38A4B8">
      <w:pPr>
        <w:spacing w:after="120"/>
        <w:jc w:val="both"/>
      </w:pPr>
      <w:r>
        <w:rPr>
          <w:rFonts w:ascii="Arial" w:hAnsi="Arial" w:eastAsia="Arial" w:cs="Arial"/>
          <w:color w:val="2C2C2C"/>
          <w:sz w:val="21"/>
          <w:szCs w:val="21"/>
        </w:rPr>
        <w:t>YUGM AI is headquartered in Delhi, India and serves clients and contributors globally. The nature of our business means that personal data may be transferred to, stored in, or processed in countries other than the country of origin of the data subject.</w:t>
      </w:r>
    </w:p>
    <w:p w14:paraId="49D64AE5">
      <w:pPr>
        <w:pStyle w:val="3"/>
        <w:spacing w:before="280" w:after="100"/>
      </w:pPr>
      <w:r>
        <w:rPr>
          <w:rFonts w:ascii="Arial" w:hAnsi="Arial" w:eastAsia="Arial" w:cs="Arial"/>
          <w:b/>
          <w:bCs/>
          <w:color w:val="1A1A1A"/>
          <w:sz w:val="24"/>
          <w:szCs w:val="24"/>
        </w:rPr>
        <w:t>12.2 Safeguards for International Transfers</w:t>
      </w:r>
    </w:p>
    <w:p w14:paraId="0DDBD2EC">
      <w:pPr>
        <w:spacing w:after="120"/>
        <w:jc w:val="both"/>
      </w:pPr>
      <w:r>
        <w:rPr>
          <w:rFonts w:ascii="Arial" w:hAnsi="Arial" w:eastAsia="Arial" w:cs="Arial"/>
          <w:color w:val="2C2C2C"/>
          <w:sz w:val="21"/>
          <w:szCs w:val="21"/>
        </w:rPr>
        <w:t>When transferring personal data internationally, YUGM AI implements the following safeguards:</w:t>
      </w:r>
    </w:p>
    <w:p w14:paraId="54D9A459">
      <w:pPr>
        <w:pStyle w:val="16"/>
        <w:numPr>
          <w:ilvl w:val="0"/>
          <w:numId w:val="1"/>
        </w:numPr>
        <w:spacing w:after="80"/>
      </w:pPr>
      <w:r>
        <w:rPr>
          <w:rFonts w:ascii="Arial" w:hAnsi="Arial" w:eastAsia="Arial" w:cs="Arial"/>
          <w:b/>
          <w:bCs/>
          <w:color w:val="1A1A1A"/>
          <w:sz w:val="21"/>
          <w:szCs w:val="21"/>
        </w:rPr>
        <w:t xml:space="preserve">Adequacy Decisions: </w:t>
      </w:r>
      <w:r>
        <w:rPr>
          <w:rFonts w:ascii="Arial" w:hAnsi="Arial" w:eastAsia="Arial" w:cs="Arial"/>
          <w:color w:val="2C2C2C"/>
          <w:sz w:val="21"/>
          <w:szCs w:val="21"/>
        </w:rPr>
        <w:t>Where the destination country has been deemed adequate by the relevant regulatory authority (e.g., European Commission adequacy decision), transfers proceed on that basis</w:t>
      </w:r>
    </w:p>
    <w:p w14:paraId="0C470345">
      <w:pPr>
        <w:pStyle w:val="16"/>
        <w:numPr>
          <w:ilvl w:val="0"/>
          <w:numId w:val="1"/>
        </w:numPr>
        <w:spacing w:after="80"/>
      </w:pPr>
      <w:r>
        <w:rPr>
          <w:rFonts w:ascii="Arial" w:hAnsi="Arial" w:eastAsia="Arial" w:cs="Arial"/>
          <w:b/>
          <w:bCs/>
          <w:color w:val="1A1A1A"/>
          <w:sz w:val="21"/>
          <w:szCs w:val="21"/>
        </w:rPr>
        <w:t xml:space="preserve">Standard Contractual Clauses (SCCs): </w:t>
      </w:r>
      <w:r>
        <w:rPr>
          <w:rFonts w:ascii="Arial" w:hAnsi="Arial" w:eastAsia="Arial" w:cs="Arial"/>
          <w:color w:val="2C2C2C"/>
          <w:sz w:val="21"/>
          <w:szCs w:val="21"/>
        </w:rPr>
        <w:t>For transfers to countries without adequacy decisions, we rely on EU Standard Contractual Clauses or equivalent mechanisms approved under applicable law</w:t>
      </w:r>
    </w:p>
    <w:p w14:paraId="415BE8D3">
      <w:pPr>
        <w:pStyle w:val="16"/>
        <w:numPr>
          <w:ilvl w:val="0"/>
          <w:numId w:val="1"/>
        </w:numPr>
        <w:spacing w:after="80"/>
      </w:pPr>
      <w:r>
        <w:rPr>
          <w:rFonts w:ascii="Arial" w:hAnsi="Arial" w:eastAsia="Arial" w:cs="Arial"/>
          <w:b/>
          <w:bCs/>
          <w:color w:val="1A1A1A"/>
          <w:sz w:val="21"/>
          <w:szCs w:val="21"/>
        </w:rPr>
        <w:t xml:space="preserve">Contractual Protections: </w:t>
      </w:r>
      <w:r>
        <w:rPr>
          <w:rFonts w:ascii="Arial" w:hAnsi="Arial" w:eastAsia="Arial" w:cs="Arial"/>
          <w:color w:val="2C2C2C"/>
          <w:sz w:val="21"/>
          <w:szCs w:val="21"/>
        </w:rPr>
        <w:t>All international sub-processors and clients receiving personal data are bound by contractual data protection obligations consistent with this policy</w:t>
      </w:r>
    </w:p>
    <w:p w14:paraId="486739E7">
      <w:pPr>
        <w:pStyle w:val="3"/>
        <w:spacing w:before="280" w:after="100"/>
      </w:pPr>
      <w:r>
        <w:rPr>
          <w:rFonts w:ascii="Arial" w:hAnsi="Arial" w:eastAsia="Arial" w:cs="Arial"/>
          <w:b/>
          <w:bCs/>
          <w:color w:val="1A1A1A"/>
          <w:sz w:val="24"/>
          <w:szCs w:val="24"/>
        </w:rPr>
        <w:t>12.3 Data Localisation</w:t>
      </w:r>
    </w:p>
    <w:p w14:paraId="3A0A9521">
      <w:pPr>
        <w:spacing w:after="120"/>
        <w:jc w:val="both"/>
      </w:pPr>
      <w:r>
        <w:rPr>
          <w:rFonts w:ascii="Arial" w:hAnsi="Arial" w:eastAsia="Arial" w:cs="Arial"/>
          <w:color w:val="2C2C2C"/>
          <w:sz w:val="21"/>
          <w:szCs w:val="21"/>
        </w:rPr>
        <w:t>YUGM AI is aware of data localisation requirements under the DPDP Act 2023 and will comply with any mandated restrictions on cross-border transfer of specific categories of personal data as and when such restrictions come into force under Indian law.</w:t>
      </w:r>
    </w:p>
    <w:p w14:paraId="11EFA27A">
      <w:pPr>
        <w:pBdr>
          <w:bottom w:val="single" w:color="DDDDDD" w:sz="2" w:space="4"/>
        </w:pBdr>
        <w:spacing w:before="160" w:after="160"/>
      </w:pPr>
    </w:p>
    <w:p w14:paraId="4DB4E6FB">
      <w:pPr>
        <w:pStyle w:val="2"/>
        <w:pBdr>
          <w:bottom w:val="single" w:color="1A56A0" w:sz="8" w:space="6"/>
        </w:pBdr>
        <w:spacing w:before="400" w:after="160"/>
      </w:pPr>
      <w:r>
        <w:rPr>
          <w:rFonts w:ascii="Arial" w:hAnsi="Arial" w:eastAsia="Arial" w:cs="Arial"/>
          <w:b/>
          <w:bCs/>
          <w:color w:val="1A56A0"/>
          <w:sz w:val="30"/>
          <w:szCs w:val="30"/>
        </w:rPr>
        <w:t>SECTION 13: CHILDREN’S PRIVACY</w:t>
      </w:r>
    </w:p>
    <w:p w14:paraId="477BEC47">
      <w:pPr>
        <w:spacing w:after="120"/>
        <w:jc w:val="both"/>
      </w:pPr>
      <w:r>
        <w:rPr>
          <w:rFonts w:ascii="Arial" w:hAnsi="Arial" w:eastAsia="Arial" w:cs="Arial"/>
          <w:color w:val="2C2C2C"/>
          <w:sz w:val="21"/>
          <w:szCs w:val="21"/>
        </w:rPr>
        <w:t>YUGM AI’s platform and services are strictly intended for individuals aged 18 years and above. We do not knowingly collect, process, or store personal data from minors under the age of 18.</w:t>
      </w:r>
    </w:p>
    <w:p w14:paraId="18B0C65C">
      <w:pPr>
        <w:spacing w:after="120"/>
        <w:jc w:val="both"/>
      </w:pPr>
      <w:r>
        <w:rPr>
          <w:rFonts w:ascii="Arial" w:hAnsi="Arial" w:eastAsia="Arial" w:cs="Arial"/>
          <w:color w:val="2C2C2C"/>
          <w:sz w:val="21"/>
          <w:szCs w:val="21"/>
        </w:rPr>
        <w:t>If a minor has registered on the platform by misrepresenting their age, their account will be suspended immediately upon discovery, and all personal data associated with the account will be deleted within 30 days, subject to any legal obligations to retain records of the incident.</w:t>
      </w:r>
    </w:p>
    <w:p w14:paraId="7EE01E8E">
      <w:pPr>
        <w:spacing w:after="120"/>
        <w:jc w:val="both"/>
      </w:pPr>
      <w:r>
        <w:rPr>
          <w:rFonts w:ascii="Arial" w:hAnsi="Arial" w:eastAsia="Arial" w:cs="Arial"/>
          <w:color w:val="2C2C2C"/>
          <w:sz w:val="21"/>
          <w:szCs w:val="21"/>
        </w:rPr>
        <w:t>If you are a parent or guardian and believe a minor has provided personal data to YUGM AI, please contact us immediately at info@yugmai.in.</w:t>
      </w:r>
    </w:p>
    <w:p w14:paraId="51442357">
      <w:pPr>
        <w:pBdr>
          <w:bottom w:val="single" w:color="DDDDDD" w:sz="2" w:space="4"/>
        </w:pBdr>
        <w:spacing w:before="160" w:after="160"/>
      </w:pPr>
    </w:p>
    <w:p w14:paraId="75B8D3FB">
      <w:pPr>
        <w:pStyle w:val="2"/>
        <w:pBdr>
          <w:bottom w:val="single" w:color="1A56A0" w:sz="8" w:space="6"/>
        </w:pBdr>
        <w:spacing w:before="400" w:after="160"/>
      </w:pPr>
      <w:r>
        <w:rPr>
          <w:rFonts w:ascii="Arial" w:hAnsi="Arial" w:eastAsia="Arial" w:cs="Arial"/>
          <w:b/>
          <w:bCs/>
          <w:color w:val="1A56A0"/>
          <w:sz w:val="30"/>
          <w:szCs w:val="30"/>
        </w:rPr>
        <w:t>SECTION 14: THIRD-PARTY LINKS AND INTEGRATIONS</w:t>
      </w:r>
    </w:p>
    <w:p w14:paraId="0CE1D826">
      <w:pPr>
        <w:spacing w:after="120"/>
        <w:jc w:val="both"/>
      </w:pPr>
      <w:r>
        <w:rPr>
          <w:rFonts w:ascii="Arial" w:hAnsi="Arial" w:eastAsia="Arial" w:cs="Arial"/>
          <w:color w:val="2C2C2C"/>
          <w:sz w:val="21"/>
          <w:szCs w:val="21"/>
        </w:rPr>
        <w:t>Our website yugmai.in may contain links to external websites, tools, or resources not operated by YUGM AI. Clicking such links will direct you to a third-party website that operates under its own privacy policy. YUGM AI has no control over and accepts no responsibility for the content, privacy practices, or security of third-party sites.</w:t>
      </w:r>
    </w:p>
    <w:p w14:paraId="27F49518">
      <w:pPr>
        <w:spacing w:after="120"/>
        <w:jc w:val="both"/>
      </w:pPr>
      <w:r>
        <w:rPr>
          <w:rFonts w:ascii="Arial" w:hAnsi="Arial" w:eastAsia="Arial" w:cs="Arial"/>
          <w:color w:val="2C2C2C"/>
          <w:sz w:val="21"/>
          <w:szCs w:val="21"/>
        </w:rPr>
        <w:t>We encourage all users to review the privacy policies of any third-party services they access through our platform before providing any personal information.</w:t>
      </w:r>
    </w:p>
    <w:p w14:paraId="0BAFFCB0">
      <w:pPr>
        <w:spacing w:after="120"/>
        <w:jc w:val="both"/>
      </w:pPr>
      <w:r>
        <w:rPr>
          <w:rFonts w:ascii="Arial" w:hAnsi="Arial" w:eastAsia="Arial" w:cs="Arial"/>
          <w:color w:val="2C2C2C"/>
          <w:sz w:val="21"/>
          <w:szCs w:val="21"/>
        </w:rPr>
        <w:t>Where our platform integrates with third-party tools (such as payment gateways or communication platforms), such integrations are governed by both this policy and the relevant third party’s terms. We ensure that integration partners meet our minimum data protection standards before being deployed.</w:t>
      </w:r>
    </w:p>
    <w:p w14:paraId="16046534">
      <w:pPr>
        <w:pBdr>
          <w:bottom w:val="single" w:color="DDDDDD" w:sz="2" w:space="4"/>
        </w:pBdr>
        <w:spacing w:before="160" w:after="160"/>
      </w:pPr>
    </w:p>
    <w:p w14:paraId="591B74F1">
      <w:pPr>
        <w:pStyle w:val="2"/>
        <w:pBdr>
          <w:bottom w:val="single" w:color="1A56A0" w:sz="8" w:space="6"/>
        </w:pBdr>
        <w:spacing w:before="400" w:after="160"/>
      </w:pPr>
      <w:r>
        <w:rPr>
          <w:rFonts w:ascii="Arial" w:hAnsi="Arial" w:eastAsia="Arial" w:cs="Arial"/>
          <w:b/>
          <w:bCs/>
          <w:color w:val="1A56A0"/>
          <w:sz w:val="30"/>
          <w:szCs w:val="30"/>
        </w:rPr>
        <w:t>SECTION 15: CHANGES TO THIS PRIVACY POLICY</w:t>
      </w:r>
    </w:p>
    <w:p w14:paraId="3B050D34">
      <w:pPr>
        <w:spacing w:after="120"/>
        <w:jc w:val="both"/>
      </w:pPr>
      <w:r>
        <w:rPr>
          <w:rFonts w:ascii="Arial" w:hAnsi="Arial" w:eastAsia="Arial" w:cs="Arial"/>
          <w:color w:val="2C2C2C"/>
          <w:sz w:val="21"/>
          <w:szCs w:val="21"/>
        </w:rPr>
        <w:t>YUGM AI reserves the right to update, modify, or replace this Privacy Policy at any time to reflect changes in our services, business practices, legal requirements, or regulatory guidance.</w:t>
      </w:r>
    </w:p>
    <w:p w14:paraId="7C1DC14D">
      <w:pPr>
        <w:spacing w:after="120"/>
        <w:jc w:val="both"/>
      </w:pPr>
      <w:r>
        <w:rPr>
          <w:rFonts w:ascii="Arial" w:hAnsi="Arial" w:eastAsia="Arial" w:cs="Arial"/>
          <w:color w:val="2C2C2C"/>
          <w:sz w:val="21"/>
          <w:szCs w:val="21"/>
        </w:rPr>
        <w:t>When we make material changes to this policy, we will:</w:t>
      </w:r>
    </w:p>
    <w:p w14:paraId="4033756E">
      <w:pPr>
        <w:pStyle w:val="16"/>
        <w:numPr>
          <w:ilvl w:val="0"/>
          <w:numId w:val="1"/>
        </w:numPr>
        <w:spacing w:after="80"/>
      </w:pPr>
      <w:r>
        <w:rPr>
          <w:rFonts w:ascii="Arial" w:hAnsi="Arial" w:eastAsia="Arial" w:cs="Arial"/>
          <w:color w:val="2C2C2C"/>
          <w:sz w:val="21"/>
          <w:szCs w:val="21"/>
        </w:rPr>
        <w:t>Update the “Last Updated” date at the top of this document</w:t>
      </w:r>
    </w:p>
    <w:p w14:paraId="65AB7E08">
      <w:pPr>
        <w:pStyle w:val="16"/>
        <w:numPr>
          <w:ilvl w:val="0"/>
          <w:numId w:val="1"/>
        </w:numPr>
        <w:spacing w:after="80"/>
      </w:pPr>
      <w:r>
        <w:rPr>
          <w:rFonts w:ascii="Arial" w:hAnsi="Arial" w:eastAsia="Arial" w:cs="Arial"/>
          <w:color w:val="2C2C2C"/>
          <w:sz w:val="21"/>
          <w:szCs w:val="21"/>
        </w:rPr>
        <w:t>Post a prominent notice on the YUGM AI website homepage for at least 14 days</w:t>
      </w:r>
    </w:p>
    <w:p w14:paraId="11A0208E">
      <w:pPr>
        <w:pStyle w:val="16"/>
        <w:numPr>
          <w:ilvl w:val="0"/>
          <w:numId w:val="1"/>
        </w:numPr>
        <w:spacing w:after="80"/>
      </w:pPr>
      <w:r>
        <w:rPr>
          <w:rFonts w:ascii="Arial" w:hAnsi="Arial" w:eastAsia="Arial" w:cs="Arial"/>
          <w:color w:val="2C2C2C"/>
          <w:sz w:val="21"/>
          <w:szCs w:val="21"/>
        </w:rPr>
        <w:t>Send an email notification to all registered users at the email address on file</w:t>
      </w:r>
    </w:p>
    <w:p w14:paraId="67E24EAC">
      <w:pPr>
        <w:pStyle w:val="16"/>
        <w:numPr>
          <w:ilvl w:val="0"/>
          <w:numId w:val="1"/>
        </w:numPr>
        <w:spacing w:after="80"/>
      </w:pPr>
      <w:r>
        <w:rPr>
          <w:rFonts w:ascii="Arial" w:hAnsi="Arial" w:eastAsia="Arial" w:cs="Arial"/>
          <w:color w:val="2C2C2C"/>
          <w:sz w:val="21"/>
          <w:szCs w:val="21"/>
        </w:rPr>
        <w:t>For material changes affecting consent-based processing, seek fresh consent from affected users</w:t>
      </w:r>
    </w:p>
    <w:p w14:paraId="510B3E8E">
      <w:pPr>
        <w:spacing w:after="120"/>
        <w:jc w:val="both"/>
      </w:pPr>
      <w:r>
        <w:rPr>
          <w:rFonts w:ascii="Arial" w:hAnsi="Arial" w:eastAsia="Arial" w:cs="Arial"/>
          <w:color w:val="2C2C2C"/>
          <w:sz w:val="21"/>
          <w:szCs w:val="21"/>
        </w:rPr>
        <w:t>Your continued use of the YUGM AI platform after the effective date of any updated policy constitutes your acceptance of the changes. If you do not agree with the revised policy, you must cease using the platform and may request deletion of your data.</w:t>
      </w:r>
    </w:p>
    <w:p w14:paraId="5E047AFA">
      <w:pPr>
        <w:spacing w:after="120"/>
        <w:jc w:val="both"/>
      </w:pPr>
      <w:r>
        <w:rPr>
          <w:rFonts w:ascii="Arial" w:hAnsi="Arial" w:eastAsia="Arial" w:cs="Arial"/>
          <w:color w:val="2C2C2C"/>
          <w:sz w:val="21"/>
          <w:szCs w:val="21"/>
        </w:rPr>
        <w:t>Prior versions of this Privacy Policy are available upon request.</w:t>
      </w:r>
    </w:p>
    <w:p w14:paraId="72BDDF70">
      <w:pPr>
        <w:pBdr>
          <w:bottom w:val="single" w:color="DDDDDD" w:sz="2" w:space="4"/>
        </w:pBdr>
        <w:spacing w:before="160" w:after="160"/>
      </w:pPr>
    </w:p>
    <w:p w14:paraId="0A110001">
      <w:pPr>
        <w:pStyle w:val="2"/>
        <w:pBdr>
          <w:bottom w:val="single" w:color="1A56A0" w:sz="8" w:space="6"/>
        </w:pBdr>
        <w:spacing w:before="400" w:after="160"/>
      </w:pPr>
      <w:r>
        <w:rPr>
          <w:rFonts w:ascii="Arial" w:hAnsi="Arial" w:eastAsia="Arial" w:cs="Arial"/>
          <w:b/>
          <w:bCs/>
          <w:color w:val="1A56A0"/>
          <w:sz w:val="30"/>
          <w:szCs w:val="30"/>
        </w:rPr>
        <w:t>SECTION 16: SOCIAL MEDIA AND NON-DISPARAGEMENT POLICY</w:t>
      </w:r>
    </w:p>
    <w:p w14:paraId="0A110002">
      <w:pPr>
        <w:pStyle w:val="3"/>
        <w:spacing w:before="280" w:after="100"/>
      </w:pPr>
      <w:r>
        <w:rPr>
          <w:rFonts w:ascii="Arial" w:hAnsi="Arial" w:eastAsia="Arial" w:cs="Arial"/>
          <w:b/>
          <w:bCs/>
          <w:color w:val="1A1A1A"/>
          <w:sz w:val="24"/>
          <w:szCs w:val="24"/>
        </w:rPr>
        <w:t>16.1 Purpose and Scope</w:t>
      </w:r>
    </w:p>
    <w:p w14:paraId="0A110003">
      <w:pPr>
        <w:spacing w:before="160" w:after="160"/>
      </w:pPr>
      <w:r>
        <w:rPr>
          <w:rFonts w:ascii="Arial" w:hAnsi="Arial" w:eastAsia="Arial" w:cs="Arial"/>
          <w:color w:val="1A1A1A"/>
          <w:sz w:val="22"/>
          <w:szCs w:val="22"/>
        </w:rPr>
        <w:t>YUGM AI is committed to resolving all client and user concerns promptly, professionally, and in good faith. This section sets out the obligations of clients, users, and project stakeholders with respect to public communications, including social media, while YUGM AI is actively engaged in servicing their requirements.</w:t>
      </w:r>
    </w:p>
    <w:p w14:paraId="0A110004">
      <w:pPr>
        <w:pStyle w:val="3"/>
        <w:spacing w:before="280" w:after="100"/>
      </w:pPr>
      <w:r>
        <w:rPr>
          <w:rFonts w:ascii="Arial" w:hAnsi="Arial" w:eastAsia="Arial" w:cs="Arial"/>
          <w:b/>
          <w:bCs/>
          <w:color w:val="1A1A1A"/>
          <w:sz w:val="24"/>
          <w:szCs w:val="24"/>
        </w:rPr>
        <w:t>16.2 Prohibition on Social Media Disclosure of Project Information</w:t>
      </w:r>
    </w:p>
    <w:p w14:paraId="0A110005">
      <w:pPr>
        <w:spacing w:before="160" w:after="160"/>
      </w:pPr>
      <w:r>
        <w:rPr>
          <w:rFonts w:ascii="Arial" w:hAnsi="Arial" w:eastAsia="Arial" w:cs="Arial"/>
          <w:color w:val="1A1A1A"/>
          <w:sz w:val="22"/>
          <w:szCs w:val="22"/>
        </w:rPr>
        <w:t>Clients and users engaged with YUGM AI on any project, contract, or service agreement must not disclose, publish, or discuss any confidential details of the project, including its scope, progress, deliverables, pricing, timelines, or internal communications, on any social media platform, public forum, review site, or other online channel without prior written consent from YUGM AI.</w:t>
      </w:r>
    </w:p>
    <w:p w14:paraId="0A110006">
      <w:pPr>
        <w:spacing w:before="160" w:after="160"/>
      </w:pPr>
      <w:r>
        <w:rPr>
          <w:rFonts w:ascii="Arial" w:hAnsi="Arial" w:eastAsia="Arial" w:cs="Arial"/>
          <w:color w:val="1A1A1A"/>
          <w:sz w:val="22"/>
          <w:szCs w:val="22"/>
        </w:rPr>
        <w:t xml:space="preserve">This prohibition applies specifically while YUGM AI is actively responding to the client’s queries, processing payments, and providing services. If YUGM AI is maintaining regular communication, acknowledging messages, and fulfilling its obligations under the agreement, the client agrees not to post any disparaging, defamatory, misleading, or negative content about YUGM AI, its team members, or its projects on any social media platform or public channel.</w:t>
      </w:r>
    </w:p>
    <w:p w14:paraId="0A110007">
      <w:pPr>
        <w:pStyle w:val="3"/>
        <w:spacing w:before="280" w:after="100"/>
      </w:pPr>
      <w:r>
        <w:rPr>
          <w:rFonts w:ascii="Arial" w:hAnsi="Arial" w:eastAsia="Arial" w:cs="Arial"/>
          <w:b/>
          <w:bCs/>
          <w:color w:val="1A1A1A"/>
          <w:sz w:val="24"/>
          <w:szCs w:val="24"/>
        </w:rPr>
        <w:t>16.3 Non-Disparagement Obligation</w:t>
      </w:r>
    </w:p>
    <w:p w14:paraId="0A110008">
      <w:pPr>
        <w:spacing w:before="160" w:after="160"/>
      </w:pPr>
      <w:r>
        <w:rPr>
          <w:rFonts w:ascii="Arial" w:hAnsi="Arial" w:eastAsia="Arial" w:cs="Arial"/>
          <w:color w:val="1A1A1A"/>
          <w:sz w:val="22"/>
          <w:szCs w:val="22"/>
        </w:rPr>
        <w:t>By engaging with YUGM AI’s services, clients and users agree not to make, publish, or encourage any statement, post, review, or communication that is defamatory, disparaging, or harmful to the reputation of YUGM AI, its directors, employees, contractors, or associated partners, under the following conditions:</w:t>
      </w:r>
    </w:p>
    <w:p w14:paraId="0A110009">
      <w:pPr>
        <w:spacing w:before="80" w:after="80"/>
        <w:ind w:left="720" w:hanging="360"/>
      </w:pPr>
      <w:r>
        <w:rPr>
          <w:rFonts w:ascii="Arial" w:hAnsi="Arial" w:eastAsia="Arial" w:cs="Arial"/>
          <w:color w:val="1A1A1A"/>
          <w:sz w:val="22"/>
          <w:szCs w:val="22"/>
        </w:rPr>
        <w:t xml:space="preserve">•  YUGM AI is actively communicating and responding to the client’s messages and requests;</w:t>
      </w:r>
    </w:p>
    <w:p w14:paraId="0A110010">
      <w:pPr>
        <w:spacing w:before="80" w:after="80"/>
        <w:ind w:left="720" w:hanging="360"/>
      </w:pPr>
      <w:r>
        <w:rPr>
          <w:rFonts w:ascii="Arial" w:hAnsi="Arial" w:eastAsia="Arial" w:cs="Arial"/>
          <w:color w:val="1A1A1A"/>
          <w:sz w:val="22"/>
          <w:szCs w:val="22"/>
        </w:rPr>
        <w:t xml:space="preserve">•  YUGM AI has confirmed it is in active engagement with the client on matters including project delivery and payment processing;</w:t>
      </w:r>
    </w:p>
    <w:p w14:paraId="0A110011">
      <w:pPr>
        <w:spacing w:before="80" w:after="80"/>
        <w:ind w:left="720" w:hanging="360"/>
      </w:pPr>
      <w:r>
        <w:rPr>
          <w:rFonts w:ascii="Arial" w:hAnsi="Arial" w:eastAsia="Arial" w:cs="Arial"/>
          <w:color w:val="1A1A1A"/>
          <w:sz w:val="22"/>
          <w:szCs w:val="22"/>
        </w:rPr>
        <w:t xml:space="preserve">•  The client has an active, ongoing, or unresolved grievance that has been submitted through the official grievance redressal process described in Section 17 of this policy and has not yet reached its resolution deadline.</w:t>
      </w:r>
    </w:p>
    <w:p w14:paraId="0A110012">
      <w:pPr>
        <w:pStyle w:val="3"/>
        <w:spacing w:before="280" w:after="100"/>
      </w:pPr>
      <w:r>
        <w:rPr>
          <w:rFonts w:ascii="Arial" w:hAnsi="Arial" w:eastAsia="Arial" w:cs="Arial"/>
          <w:b/>
          <w:bCs/>
          <w:color w:val="1A1A1A"/>
          <w:sz w:val="24"/>
          <w:szCs w:val="24"/>
        </w:rPr>
        <w:t>16.4 When Social Media Communication Is Permitted</w:t>
      </w:r>
    </w:p>
    <w:p w14:paraId="0A110013">
      <w:pPr>
        <w:spacing w:before="160" w:after="160"/>
      </w:pPr>
      <w:r>
        <w:rPr>
          <w:rFonts w:ascii="Arial" w:hAnsi="Arial" w:eastAsia="Arial" w:cs="Arial"/>
          <w:color w:val="1A1A1A"/>
          <w:sz w:val="22"/>
          <w:szCs w:val="22"/>
        </w:rPr>
        <w:t>A client or user may choose to communicate their experience publicly only in the following circumstances:</w:t>
      </w:r>
    </w:p>
    <w:p w14:paraId="0A110014">
      <w:pPr>
        <w:spacing w:before="80" w:after="80"/>
        <w:ind w:left="720" w:hanging="360"/>
      </w:pPr>
      <w:r>
        <w:rPr>
          <w:rFonts w:ascii="Arial" w:hAnsi="Arial" w:eastAsia="Arial" w:cs="Arial"/>
          <w:color w:val="1A1A1A"/>
          <w:sz w:val="22"/>
          <w:szCs w:val="22"/>
        </w:rPr>
        <w:t xml:space="preserve">•  YUGM AI has completely ceased responding to the client’s communications for a period of more than 7 (seven) business days without any acknowledgement or explanation;</w:t>
      </w:r>
    </w:p>
    <w:p w14:paraId="0A110015">
      <w:pPr>
        <w:spacing w:before="80" w:after="80"/>
        <w:ind w:left="720" w:hanging="360"/>
      </w:pPr>
      <w:r>
        <w:rPr>
          <w:rFonts w:ascii="Arial" w:hAnsi="Arial" w:eastAsia="Arial" w:cs="Arial"/>
          <w:color w:val="1A1A1A"/>
          <w:sz w:val="22"/>
          <w:szCs w:val="22"/>
        </w:rPr>
        <w:t xml:space="preserve">•  A formally raised grievance has remained unresolved beyond the 30-day resolution period specified in Section 17 of this policy, with no communication from YUGM AI;</w:t>
      </w:r>
    </w:p>
    <w:p w14:paraId="0A110016">
      <w:pPr>
        <w:spacing w:before="80" w:after="80"/>
        <w:ind w:left="720" w:hanging="360"/>
      </w:pPr>
      <w:r>
        <w:rPr>
          <w:rFonts w:ascii="Arial" w:hAnsi="Arial" w:eastAsia="Arial" w:cs="Arial"/>
          <w:color w:val="1A1A1A"/>
          <w:sz w:val="22"/>
          <w:szCs w:val="22"/>
        </w:rPr>
        <w:t xml:space="preserve">•  YUGM AI has explicitly informed the client in writing that it cannot fulfil the agreed scope of services and has not offered a reasonable remedy or refund.</w:t>
      </w:r>
    </w:p>
    <w:p w14:paraId="0A110017">
      <w:pPr>
        <w:spacing w:before="160" w:after="160"/>
      </w:pPr>
      <w:r>
        <w:rPr>
          <w:rFonts w:ascii="Arial" w:hAnsi="Arial" w:eastAsia="Arial" w:cs="Arial"/>
          <w:color w:val="1A1A1A"/>
          <w:sz w:val="22"/>
          <w:szCs w:val="22"/>
        </w:rPr>
        <w:t>Even in such circumstances, any public communication must be factual, truthful, and free from exaggeration, misrepresentation, or statements intended to cause harm beyond a fair account of the client’s genuine experience.</w:t>
      </w:r>
    </w:p>
    <w:p w14:paraId="0A110018">
      <w:pPr>
        <w:pStyle w:val="3"/>
        <w:spacing w:before="280" w:after="100"/>
      </w:pPr>
      <w:r>
        <w:rPr>
          <w:rFonts w:ascii="Arial" w:hAnsi="Arial" w:eastAsia="Arial" w:cs="Arial"/>
          <w:b/>
          <w:bCs/>
          <w:color w:val="1A1A1A"/>
          <w:sz w:val="24"/>
          <w:szCs w:val="24"/>
        </w:rPr>
        <w:t>16.5 Legal Consequences of Violation</w:t>
      </w:r>
    </w:p>
    <w:p w14:paraId="0A110019">
      <w:pPr>
        <w:spacing w:before="160" w:after="160"/>
      </w:pPr>
      <w:r>
        <w:rPr>
          <w:rFonts w:ascii="Arial" w:hAnsi="Arial" w:eastAsia="Arial" w:cs="Arial"/>
          <w:color w:val="1A1A1A"/>
          <w:sz w:val="22"/>
          <w:szCs w:val="22"/>
        </w:rPr>
        <w:t>Any client or user who violates the non-disparagement obligations set out in this section — particularly where YUGM AI is actively responding to their communications, processing their payments, and fulfilling its obligations — may be subject to the following legal consequences:</w:t>
      </w:r>
    </w:p>
    <w:p w14:paraId="0A110020">
      <w:pPr>
        <w:spacing w:before="80" w:after="80"/>
        <w:ind w:left="720" w:hanging="360"/>
      </w:pPr>
      <w:r>
        <w:rPr>
          <w:rFonts w:ascii="Arial" w:hAnsi="Arial" w:eastAsia="Arial" w:cs="Arial"/>
          <w:color w:val="1A1A1A"/>
          <w:sz w:val="22"/>
          <w:szCs w:val="22"/>
        </w:rPr>
        <w:t xml:space="preserve">•  Civil action for defamation under the Indian Penal Code (Section 499 and 500) or applicable law in the user’s jurisdiction;</w:t>
      </w:r>
    </w:p>
    <w:p w14:paraId="0A110021">
      <w:pPr>
        <w:spacing w:before="80" w:after="80"/>
        <w:ind w:left="720" w:hanging="360"/>
      </w:pPr>
      <w:r>
        <w:rPr>
          <w:rFonts w:ascii="Arial" w:hAnsi="Arial" w:eastAsia="Arial" w:cs="Arial"/>
          <w:color w:val="1A1A1A"/>
          <w:sz w:val="22"/>
          <w:szCs w:val="22"/>
        </w:rPr>
        <w:t xml:space="preserve">•  Proceedings under the Information Technology Act, 2000 for online defamation and malicious communication;</w:t>
      </w:r>
    </w:p>
    <w:p w14:paraId="0A110022">
      <w:pPr>
        <w:spacing w:before="80" w:after="80"/>
        <w:ind w:left="720" w:hanging="360"/>
      </w:pPr>
      <w:r>
        <w:rPr>
          <w:rFonts w:ascii="Arial" w:hAnsi="Arial" w:eastAsia="Arial" w:cs="Arial"/>
          <w:color w:val="1A1A1A"/>
          <w:sz w:val="22"/>
          <w:szCs w:val="22"/>
        </w:rPr>
        <w:t xml:space="preserve">•  Claims for damages for reputational harm, loss of business, and financial losses suffered by YUGM AI as a direct result of the defamatory publication;</w:t>
      </w:r>
    </w:p>
    <w:p w14:paraId="0A110023">
      <w:pPr>
        <w:spacing w:before="80" w:after="80"/>
        <w:ind w:left="720" w:hanging="360"/>
      </w:pPr>
      <w:r>
        <w:rPr>
          <w:rFonts w:ascii="Arial" w:hAnsi="Arial" w:eastAsia="Arial" w:cs="Arial"/>
          <w:color w:val="1A1A1A"/>
          <w:sz w:val="22"/>
          <w:szCs w:val="22"/>
        </w:rPr>
        <w:t xml:space="preserve">•  Seeking of an injunction or court order requiring the immediate removal of the offending content from all public platforms.</w:t>
      </w:r>
    </w:p>
    <w:p w14:paraId="0A110024">
      <w:pPr>
        <w:spacing w:before="160" w:after="160"/>
      </w:pPr>
      <w:r>
        <w:rPr>
          <w:rFonts w:ascii="Arial" w:hAnsi="Arial" w:eastAsia="Arial" w:cs="Arial"/>
          <w:color w:val="1A1A1A"/>
          <w:sz w:val="22"/>
          <w:szCs w:val="22"/>
        </w:rPr>
        <w:t>YUGM AI strongly encourages all clients and users to resolve disputes through the official grievance process before resorting to public communication. We are committed to addressing every concern raised through appropriate channels in a timely and fair manner.</w:t>
      </w:r>
    </w:p>
    <w:p w14:paraId="6914EFE7">
      <w:pPr>
        <w:pStyle w:val="2"/>
        <w:pBdr>
          <w:bottom w:val="single" w:color="1A56A0" w:sz="8" w:space="6"/>
        </w:pBdr>
        <w:spacing w:before="400" w:after="160"/>
      </w:pPr>
      <w:r>
        <w:rPr>
          <w:rFonts w:ascii="Arial" w:hAnsi="Arial" w:eastAsia="Arial" w:cs="Arial"/>
          <w:b/>
          <w:bCs/>
          <w:color w:val="1A56A0"/>
          <w:sz w:val="30"/>
          <w:szCs w:val="30"/>
        </w:rPr>
        <w:t>SECTION 17: GRIEVANCE REDRESSAL</w:t>
      </w:r>
    </w:p>
    <w:p w14:paraId="474E2708">
      <w:pPr>
        <w:pStyle w:val="3"/>
        <w:spacing w:before="280" w:after="100"/>
      </w:pPr>
      <w:r>
        <w:rPr>
          <w:rFonts w:ascii="Arial" w:hAnsi="Arial" w:eastAsia="Arial" w:cs="Arial"/>
          <w:b/>
          <w:bCs/>
          <w:color w:val="1A1A1A"/>
          <w:sz w:val="24"/>
          <w:szCs w:val="24"/>
        </w:rPr>
        <w:t>17.1 Grievance Officer</w:t>
      </w:r>
    </w:p>
    <w:p w14:paraId="5B5BBF08">
      <w:pPr>
        <w:spacing w:after="120"/>
        <w:jc w:val="both"/>
      </w:pPr>
      <w:r>
        <w:rPr>
          <w:rFonts w:ascii="Arial" w:hAnsi="Arial" w:eastAsia="Arial" w:cs="Arial"/>
          <w:color w:val="2C2C2C"/>
          <w:sz w:val="21"/>
          <w:szCs w:val="21"/>
        </w:rPr>
        <w:t>In accordance with the Information Technology Act, 2000 and the DPDP Act 2023, YUGM AI has designated a Grievance Officer for the resolution of privacy-related complaints. Users may contact the Grievance Officer for:</w:t>
      </w:r>
    </w:p>
    <w:p w14:paraId="724C7455">
      <w:pPr>
        <w:pStyle w:val="16"/>
        <w:numPr>
          <w:ilvl w:val="0"/>
          <w:numId w:val="1"/>
        </w:numPr>
        <w:spacing w:after="80"/>
      </w:pPr>
      <w:r>
        <w:rPr>
          <w:rFonts w:ascii="Arial" w:hAnsi="Arial" w:eastAsia="Arial" w:cs="Arial"/>
          <w:color w:val="2C2C2C"/>
          <w:sz w:val="21"/>
          <w:szCs w:val="21"/>
        </w:rPr>
        <w:t>Concerns about how personal data has been handled</w:t>
      </w:r>
    </w:p>
    <w:p w14:paraId="4B00F15B">
      <w:pPr>
        <w:pStyle w:val="16"/>
        <w:numPr>
          <w:ilvl w:val="0"/>
          <w:numId w:val="1"/>
        </w:numPr>
        <w:spacing w:after="80"/>
      </w:pPr>
      <w:r>
        <w:rPr>
          <w:rFonts w:ascii="Arial" w:hAnsi="Arial" w:eastAsia="Arial" w:cs="Arial"/>
          <w:color w:val="2C2C2C"/>
          <w:sz w:val="21"/>
          <w:szCs w:val="21"/>
        </w:rPr>
        <w:t>Requests to exercise data rights as described in Section 10</w:t>
      </w:r>
    </w:p>
    <w:p w14:paraId="70DED8BF">
      <w:pPr>
        <w:pStyle w:val="16"/>
        <w:numPr>
          <w:ilvl w:val="0"/>
          <w:numId w:val="1"/>
        </w:numPr>
        <w:spacing w:after="80"/>
      </w:pPr>
      <w:r>
        <w:rPr>
          <w:rFonts w:ascii="Arial" w:hAnsi="Arial" w:eastAsia="Arial" w:cs="Arial"/>
          <w:color w:val="2C2C2C"/>
          <w:sz w:val="21"/>
          <w:szCs w:val="21"/>
        </w:rPr>
        <w:t>Reporting a suspected data breach or security incident</w:t>
      </w:r>
    </w:p>
    <w:p w14:paraId="7E1DCF1A">
      <w:pPr>
        <w:pStyle w:val="16"/>
        <w:numPr>
          <w:ilvl w:val="0"/>
          <w:numId w:val="1"/>
        </w:numPr>
        <w:spacing w:after="80"/>
      </w:pPr>
      <w:r>
        <w:rPr>
          <w:rFonts w:ascii="Arial" w:hAnsi="Arial" w:eastAsia="Arial" w:cs="Arial"/>
          <w:color w:val="2C2C2C"/>
          <w:sz w:val="21"/>
          <w:szCs w:val="21"/>
        </w:rPr>
        <w:t>Any other privacy-related complaint or concern</w:t>
      </w:r>
    </w:p>
    <w:p w14:paraId="4EEA1B45">
      <w:pPr>
        <w:spacing w:after="120"/>
        <w:jc w:val="both"/>
      </w:pPr>
      <w:r>
        <w:rPr>
          <w:rFonts w:ascii="Arial" w:hAnsi="Arial" w:eastAsia="Arial" w:cs="Arial"/>
          <w:color w:val="2C2C2C"/>
          <w:sz w:val="21"/>
          <w:szCs w:val="21"/>
        </w:rPr>
        <w:t>Grievance Officer Contact:</w:t>
      </w:r>
    </w:p>
    <w:p w14:paraId="61E6DE14">
      <w:pPr>
        <w:spacing w:after="120"/>
        <w:jc w:val="both"/>
      </w:pPr>
      <w:r>
        <w:rPr>
          <w:rFonts w:ascii="Arial" w:hAnsi="Arial" w:eastAsia="Arial" w:cs="Arial"/>
          <w:b/>
          <w:bCs/>
          <w:i w:val="0"/>
          <w:iCs w:val="0"/>
          <w:color w:val="2C2C2C"/>
          <w:sz w:val="21"/>
          <w:szCs w:val="21"/>
        </w:rPr>
        <w:t xml:space="preserve">Email: </w:t>
      </w:r>
      <w:r>
        <w:rPr>
          <w:rFonts w:ascii="Arial" w:hAnsi="Arial" w:eastAsia="Arial" w:cs="Arial"/>
          <w:b w:val="0"/>
          <w:bCs w:val="0"/>
          <w:i w:val="0"/>
          <w:iCs w:val="0"/>
          <w:color w:val="2C2C2C"/>
          <w:sz w:val="21"/>
          <w:szCs w:val="21"/>
        </w:rPr>
        <w:t>info@yugmai.in</w:t>
      </w:r>
    </w:p>
    <w:p w14:paraId="08581AC8">
      <w:pPr>
        <w:spacing w:after="120"/>
        <w:jc w:val="both"/>
      </w:pPr>
      <w:r>
        <w:rPr>
          <w:rFonts w:ascii="Arial" w:hAnsi="Arial" w:eastAsia="Arial" w:cs="Arial"/>
          <w:b/>
          <w:bCs/>
          <w:i w:val="0"/>
          <w:iCs w:val="0"/>
          <w:color w:val="2C2C2C"/>
          <w:sz w:val="21"/>
          <w:szCs w:val="21"/>
        </w:rPr>
        <w:t xml:space="preserve">Subject Line: </w:t>
      </w:r>
      <w:r>
        <w:rPr>
          <w:rFonts w:ascii="Arial" w:hAnsi="Arial" w:eastAsia="Arial" w:cs="Arial"/>
          <w:b w:val="0"/>
          <w:bCs w:val="0"/>
          <w:i w:val="0"/>
          <w:iCs w:val="0"/>
          <w:color w:val="2C2C2C"/>
          <w:sz w:val="21"/>
          <w:szCs w:val="21"/>
        </w:rPr>
        <w:t>Privacy Grievance – YUGM AI</w:t>
      </w:r>
    </w:p>
    <w:p w14:paraId="5FD8C5DD">
      <w:pPr>
        <w:spacing w:after="120"/>
        <w:jc w:val="both"/>
      </w:pPr>
      <w:r>
        <w:rPr>
          <w:rFonts w:ascii="Arial" w:hAnsi="Arial" w:eastAsia="Arial" w:cs="Arial"/>
          <w:b/>
          <w:bCs/>
          <w:i w:val="0"/>
          <w:iCs w:val="0"/>
          <w:color w:val="2C2C2C"/>
          <w:sz w:val="21"/>
          <w:szCs w:val="21"/>
        </w:rPr>
        <w:t xml:space="preserve">Response Time: </w:t>
      </w:r>
      <w:r>
        <w:rPr>
          <w:rFonts w:ascii="Arial" w:hAnsi="Arial" w:eastAsia="Arial" w:cs="Arial"/>
          <w:b w:val="0"/>
          <w:bCs w:val="0"/>
          <w:i w:val="0"/>
          <w:iCs w:val="0"/>
          <w:color w:val="2C2C2C"/>
          <w:sz w:val="21"/>
          <w:szCs w:val="21"/>
        </w:rPr>
        <w:t>We aim to acknowledge all grievances within 5 business days and resolve them within 30 calendar days.</w:t>
      </w:r>
    </w:p>
    <w:p w14:paraId="481C6965">
      <w:pPr>
        <w:pStyle w:val="3"/>
        <w:spacing w:before="280" w:after="100"/>
      </w:pPr>
      <w:r>
        <w:rPr>
          <w:rFonts w:ascii="Arial" w:hAnsi="Arial" w:eastAsia="Arial" w:cs="Arial"/>
          <w:b/>
          <w:bCs/>
          <w:color w:val="1A1A1A"/>
          <w:sz w:val="24"/>
          <w:szCs w:val="24"/>
        </w:rPr>
        <w:t>17.2 Escalation</w:t>
      </w:r>
    </w:p>
    <w:p w14:paraId="770CD1A8">
      <w:pPr>
        <w:spacing w:after="120"/>
        <w:jc w:val="both"/>
      </w:pPr>
      <w:r>
        <w:rPr>
          <w:rFonts w:ascii="Arial" w:hAnsi="Arial" w:eastAsia="Arial" w:cs="Arial"/>
          <w:color w:val="2C2C2C"/>
          <w:sz w:val="21"/>
          <w:szCs w:val="21"/>
        </w:rPr>
        <w:t>If your grievance is not resolved to your satisfaction within 30 days, you may escalate to the Data Protection Board of India (once constituted) or the relevant supervisory authority in your jurisdiction.</w:t>
      </w:r>
    </w:p>
    <w:p w14:paraId="25ADD803">
      <w:pPr>
        <w:pBdr>
          <w:bottom w:val="single" w:color="DDDDDD" w:sz="2" w:space="4"/>
        </w:pBdr>
        <w:spacing w:before="160" w:after="160"/>
      </w:pPr>
    </w:p>
    <w:p w14:paraId="762D09C1">
      <w:pPr>
        <w:pStyle w:val="2"/>
        <w:pBdr>
          <w:bottom w:val="single" w:color="1A56A0" w:sz="8" w:space="6"/>
        </w:pBdr>
        <w:spacing w:before="400" w:after="160"/>
      </w:pPr>
      <w:r>
        <w:rPr>
          <w:rFonts w:ascii="Arial" w:hAnsi="Arial" w:eastAsia="Arial" w:cs="Arial"/>
          <w:b/>
          <w:bCs/>
          <w:color w:val="1A56A0"/>
          <w:sz w:val="30"/>
          <w:szCs w:val="30"/>
        </w:rPr>
        <w:t>SECTION 18: CONTACT INFORMATION</w:t>
      </w:r>
    </w:p>
    <w:p w14:paraId="35E2AEB0">
      <w:pPr>
        <w:spacing w:after="120"/>
        <w:jc w:val="both"/>
      </w:pPr>
      <w:r>
        <w:rPr>
          <w:rFonts w:ascii="Arial" w:hAnsi="Arial" w:eastAsia="Arial" w:cs="Arial"/>
          <w:color w:val="2C2C2C"/>
          <w:sz w:val="21"/>
          <w:szCs w:val="21"/>
        </w:rPr>
        <w:t>For all privacy-related queries, requests, or concerns, please reach out to YUGM AI through the following channels:</w:t>
      </w:r>
    </w:p>
    <w:p w14:paraId="68B62169">
      <w:pPr>
        <w:spacing w:after="60"/>
      </w:pPr>
      <w:r>
        <w:rPr>
          <w:sz w:val="21"/>
          <w:szCs w:val="21"/>
        </w:rPr>
        <w:t xml:space="preserve"> </w:t>
      </w:r>
    </w:p>
    <w:p w14:paraId="79BF3591">
      <w:pPr>
        <w:spacing w:after="80"/>
      </w:pPr>
      <w:r>
        <w:rPr>
          <w:rFonts w:ascii="Arial" w:hAnsi="Arial" w:eastAsia="Arial" w:cs="Arial"/>
          <w:b/>
          <w:bCs/>
          <w:color w:val="1A56A0"/>
          <w:sz w:val="24"/>
          <w:szCs w:val="24"/>
        </w:rPr>
        <w:t>YUGM AI</w:t>
      </w:r>
    </w:p>
    <w:p w14:paraId="0AB1DD11">
      <w:pPr>
        <w:spacing w:after="120"/>
        <w:jc w:val="both"/>
      </w:pPr>
      <w:r>
        <w:rPr>
          <w:rFonts w:ascii="Arial" w:hAnsi="Arial" w:eastAsia="Arial" w:cs="Arial"/>
          <w:b/>
          <w:bCs/>
          <w:i w:val="0"/>
          <w:iCs w:val="0"/>
          <w:color w:val="2C2C2C"/>
          <w:sz w:val="21"/>
          <w:szCs w:val="21"/>
        </w:rPr>
        <w:t xml:space="preserve">Website: </w:t>
      </w:r>
      <w:r>
        <w:rPr>
          <w:rFonts w:ascii="Arial" w:hAnsi="Arial" w:eastAsia="Arial" w:cs="Arial"/>
          <w:b w:val="0"/>
          <w:bCs w:val="0"/>
          <w:i w:val="0"/>
          <w:iCs w:val="0"/>
          <w:color w:val="2C2C2C"/>
          <w:sz w:val="21"/>
          <w:szCs w:val="21"/>
        </w:rPr>
        <w:t>https://yugmai.in</w:t>
      </w:r>
    </w:p>
    <w:p w14:paraId="0D68EDA8">
      <w:pPr>
        <w:spacing w:after="120"/>
        <w:jc w:val="both"/>
      </w:pPr>
      <w:r>
        <w:rPr>
          <w:rFonts w:ascii="Arial" w:hAnsi="Arial" w:eastAsia="Arial" w:cs="Arial"/>
          <w:b/>
          <w:bCs/>
          <w:i w:val="0"/>
          <w:iCs w:val="0"/>
          <w:color w:val="2C2C2C"/>
          <w:sz w:val="21"/>
          <w:szCs w:val="21"/>
        </w:rPr>
        <w:t xml:space="preserve">Contact Form: </w:t>
      </w:r>
      <w:r>
        <w:rPr>
          <w:rFonts w:ascii="Arial" w:hAnsi="Arial" w:eastAsia="Arial" w:cs="Arial"/>
          <w:b w:val="0"/>
          <w:bCs w:val="0"/>
          <w:i w:val="0"/>
          <w:iCs w:val="0"/>
          <w:color w:val="2C2C2C"/>
          <w:sz w:val="21"/>
          <w:szCs w:val="21"/>
        </w:rPr>
        <w:t>https://yugmai.in/contact</w:t>
      </w:r>
    </w:p>
    <w:p w14:paraId="18C674FC">
      <w:pPr>
        <w:spacing w:after="120"/>
        <w:jc w:val="both"/>
      </w:pPr>
      <w:r>
        <w:rPr>
          <w:rFonts w:ascii="Arial" w:hAnsi="Arial" w:eastAsia="Arial" w:cs="Arial"/>
          <w:b/>
          <w:bCs/>
          <w:i w:val="0"/>
          <w:iCs w:val="0"/>
          <w:color w:val="2C2C2C"/>
          <w:sz w:val="21"/>
          <w:szCs w:val="21"/>
        </w:rPr>
        <w:t xml:space="preserve">Email: </w:t>
      </w:r>
      <w:r>
        <w:rPr>
          <w:rFonts w:ascii="Arial" w:hAnsi="Arial" w:eastAsia="Arial" w:cs="Arial"/>
          <w:b w:val="0"/>
          <w:bCs w:val="0"/>
          <w:i w:val="0"/>
          <w:iCs w:val="0"/>
          <w:color w:val="2C2C2C"/>
          <w:sz w:val="21"/>
          <w:szCs w:val="21"/>
        </w:rPr>
        <w:t>info@yugmai.in</w:t>
      </w:r>
    </w:p>
    <w:p w14:paraId="6D5FB194">
      <w:pPr>
        <w:spacing w:after="120"/>
        <w:jc w:val="both"/>
      </w:pPr>
      <w:r>
        <w:rPr>
          <w:rFonts w:ascii="Arial" w:hAnsi="Arial" w:eastAsia="Arial" w:cs="Arial"/>
          <w:b/>
          <w:bCs/>
          <w:i w:val="0"/>
          <w:iCs w:val="0"/>
          <w:color w:val="2C2C2C"/>
          <w:sz w:val="21"/>
          <w:szCs w:val="21"/>
        </w:rPr>
        <w:t xml:space="preserve">Location: </w:t>
      </w:r>
      <w:r>
        <w:rPr>
          <w:rFonts w:ascii="Arial" w:hAnsi="Arial" w:eastAsia="Arial" w:cs="Arial"/>
          <w:b w:val="0"/>
          <w:bCs w:val="0"/>
          <w:i w:val="0"/>
          <w:iCs w:val="0"/>
          <w:color w:val="2C2C2C"/>
          <w:sz w:val="21"/>
          <w:szCs w:val="21"/>
        </w:rPr>
        <w:t>Delhi, India</w:t>
      </w:r>
    </w:p>
    <w:p w14:paraId="10870D79">
      <w:pPr>
        <w:spacing w:after="120"/>
        <w:jc w:val="both"/>
      </w:pPr>
      <w:r>
        <w:rPr>
          <w:rFonts w:ascii="Arial" w:hAnsi="Arial" w:eastAsia="Arial" w:cs="Arial"/>
          <w:b/>
          <w:bCs/>
          <w:i w:val="0"/>
          <w:iCs w:val="0"/>
          <w:color w:val="2C2C2C"/>
          <w:sz w:val="21"/>
          <w:szCs w:val="21"/>
        </w:rPr>
        <w:t xml:space="preserve">Operating Hours: </w:t>
      </w:r>
      <w:r>
        <w:rPr>
          <w:rFonts w:ascii="Arial" w:hAnsi="Arial" w:eastAsia="Arial" w:cs="Arial"/>
          <w:b w:val="0"/>
          <w:bCs w:val="0"/>
          <w:i w:val="0"/>
          <w:iCs w:val="0"/>
          <w:color w:val="2C2C2C"/>
          <w:sz w:val="21"/>
          <w:szCs w:val="21"/>
        </w:rPr>
        <w:t>Monday to Friday, 10:00 AM to 6:00 PM IST (response within 24 hours)</w:t>
      </w:r>
    </w:p>
    <w:p w14:paraId="33121DA5">
      <w:pPr>
        <w:spacing w:after="60"/>
      </w:pPr>
      <w:r>
        <w:rPr>
          <w:sz w:val="21"/>
          <w:szCs w:val="21"/>
        </w:rPr>
        <w:t xml:space="preserve"> </w:t>
      </w:r>
    </w:p>
    <w:p w14:paraId="7B6E77ED">
      <w:pPr>
        <w:pBdr>
          <w:left w:val="single" w:color="1A56A0" w:sz="12" w:space="12"/>
        </w:pBdr>
        <w:spacing w:before="120" w:after="120"/>
        <w:ind w:left="720"/>
      </w:pPr>
      <w:r>
        <w:rPr>
          <w:rFonts w:ascii="Arial" w:hAnsi="Arial" w:eastAsia="Arial" w:cs="Arial"/>
          <w:i/>
          <w:iCs/>
          <w:color w:val="1A56A0"/>
          <w:sz w:val="20"/>
          <w:szCs w:val="20"/>
        </w:rPr>
        <w:t>YUGM AI is committed to resolving all privacy concerns fairly, transparently, and in accordance with applicable law. We encourage all users to reach out directly before escalating to regulatory authorities.</w:t>
      </w:r>
    </w:p>
    <w:p w14:paraId="43D8B303">
      <w:pPr>
        <w:pBdr>
          <w:bottom w:val="single" w:color="DDDDDD" w:sz="2" w:space="4"/>
        </w:pBdr>
        <w:spacing w:before="160" w:after="160"/>
      </w:pPr>
    </w:p>
    <w:p w14:paraId="26ED9A12">
      <w:pPr>
        <w:spacing w:before="200" w:after="60"/>
        <w:jc w:val="center"/>
      </w:pPr>
      <w:r>
        <w:rPr>
          <w:rFonts w:ascii="Arial" w:hAnsi="Arial" w:eastAsia="Arial" w:cs="Arial"/>
          <w:color w:val="888888"/>
          <w:sz w:val="18"/>
          <w:szCs w:val="18"/>
        </w:rPr>
        <w:t>Copyright © 2026 YUGM AI. All rights reserved.</w:t>
      </w:r>
    </w:p>
    <w:p w14:paraId="3489E48C">
      <w:pPr>
        <w:spacing w:after="0"/>
        <w:jc w:val="center"/>
      </w:pPr>
      <w:r>
        <w:rPr>
          <w:rFonts w:ascii="Arial" w:hAnsi="Arial" w:eastAsia="Arial" w:cs="Arial"/>
          <w:i/>
          <w:iCs/>
          <w:color w:val="AAAAAA"/>
          <w:sz w:val="18"/>
          <w:szCs w:val="18"/>
        </w:rPr>
        <w:t>This document constitutes the complete and binding Privacy Policy of YUGM AI as of the effective date stated above.</w:t>
      </w:r>
    </w:p>
    <w:sectPr>
      <w:headerReference r:id="rId3" w:type="default"/>
      <w:footerReference r:id="rId4" w:type="default"/>
      <w:pgSz w:w="11906" w:h="16838"/>
      <w:pgMar w:top="1200" w:right="120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806F0">
    <w:pPr>
      <w:pBdr>
        <w:top w:val="single" w:color="DDDDDD" w:sz="2" w:space="4"/>
      </w:pBdr>
      <w:jc w:val="center"/>
    </w:pPr>
    <w:r>
      <w:rPr>
        <w:rFonts w:ascii="Arial" w:hAnsi="Arial" w:eastAsia="Arial" w:cs="Arial"/>
        <w:color w:val="888888"/>
        <w:sz w:val="18"/>
        <w:szCs w:val="18"/>
      </w:rPr>
      <w:t xml:space="preserve">© 2026 YUGM AI, Delhi, India  |  info@yugmai.in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8E03A">
    <w:pPr>
      <w:pBdr>
        <w:bottom w:val="single" w:color="DDDDDD" w:sz="2" w:space="4"/>
      </w:pBdr>
      <w:tabs>
        <w:tab w:val="right" w:pos="9026"/>
      </w:tabs>
      <w:spacing w:after="0"/>
    </w:pPr>
    <w:r>
      <w:rPr>
        <w:rFonts w:ascii="Arial" w:hAnsi="Arial" w:eastAsia="Arial" w:cs="Arial"/>
        <w:color w:val="888888"/>
        <w:sz w:val="18"/>
        <w:szCs w:val="18"/>
      </w:rPr>
      <w:t>YUGM AI — Privacy Policy</w:t>
    </w:r>
    <w:r>
      <w:rPr>
        <w:rFonts w:ascii="Arial" w:hAnsi="Arial" w:eastAsia="Arial" w:cs="Arial"/>
        <w:color w:val="AAAAAA"/>
        <w:sz w:val="18"/>
        <w:szCs w:val="18"/>
      </w:rPr>
      <w:tab/>
      <w:t/>
    </w:r>
    <w:r>
      <w:rPr>
        <w:rFonts w:ascii="Arial" w:hAnsi="Arial" w:eastAsia="Arial" w:cs="Arial"/>
        <w:color w:val="AAAAAA"/>
        <w:sz w:val="18"/>
        <w:szCs w:val="18"/>
      </w:rPr>
      <w:tab/>
      <w:t>Confidential | yugmai.in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lowerRoman"/>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isplayBackgroundShape w:val="1"/>
  <w:documentProtection w:enforcement="0"/>
  <w:compat>
    <w:compatSetting w:name="compatibilityMode" w:uri="http://schemas.microsoft.com/office/word" w:val="15"/>
  </w:compat>
  <w:rsids>
    <w:rsidRoot w:val="00000000"/>
    <w:rsid w:val="049B30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spacing w:before="400" w:after="160"/>
      <w:outlineLvl w:val="0"/>
    </w:pPr>
    <w:rPr>
      <w:rFonts w:ascii="Arial" w:hAnsi="Arial" w:eastAsia="Arial" w:cs="Arial"/>
      <w:b/>
      <w:bCs/>
      <w:color w:val="1A56A0"/>
      <w:sz w:val="30"/>
      <w:szCs w:val="30"/>
    </w:rPr>
  </w:style>
  <w:style w:type="paragraph" w:styleId="3">
    <w:name w:val="heading 2"/>
    <w:next w:val="1"/>
    <w:qFormat/>
    <w:uiPriority w:val="0"/>
    <w:pPr>
      <w:spacing w:before="280" w:after="100"/>
      <w:outlineLvl w:val="1"/>
    </w:pPr>
    <w:rPr>
      <w:rFonts w:ascii="Arial" w:hAnsi="Arial" w:eastAsia="Arial" w:cs="Arial"/>
      <w:b/>
      <w:bCs/>
      <w:color w:val="1A1A1A"/>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13</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2026-04-07T04:43:00Z</dcterms:created>
  <dc:creator>Un-named</dc:creator>
  <cp:lastModifiedBy>Ahad</cp:lastModifiedBy>
  <dcterms:modified xsi:type="dcterms:W3CDTF">2026-04-07T04:58:21Z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E4F14F2753714148B2DA786E21ED198D_12</vt:lpwstr>
  </property>
</Properties>
</file>