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pPr>
        <w:spacing w:after="60"/>
        <w:jc w:val="center"/>
      </w:pPr>
      <w:r>
        <w:rPr>
          <w:b/>
          <w:bCs/>
          <w:i w:val="false"/>
          <w:iCs w:val="false"/>
          <w:color w:val="1F3864"/>
          <w:sz w:val="32"/>
          <w:szCs w:val="32"/>
        </w:rPr>
        <w:t xml:space="preserve">INFOZIANT</w:t>
      </w:r>
    </w:p>
    <w:p>
      <w:pPr>
        <w:spacing w:after="260"/>
        <w:jc w:val="center"/>
      </w:pPr>
      <w:r>
        <w:rPr>
          <w:b w:val="false"/>
          <w:bCs w:val="false"/>
          <w:i/>
          <w:iCs/>
          <w:color w:val="0F6E6E"/>
          <w:sz w:val="20"/>
          <w:szCs w:val="20"/>
        </w:rPr>
        <w:t xml:space="preserve">Secure. Scalable. Innovative.</w:t>
      </w:r>
    </w:p>
    <w:p>
      <w:pPr>
        <w:spacing w:after="60"/>
        <w:jc w:val="center"/>
      </w:pPr>
      <w:r>
        <w:rPr>
          <w:b/>
          <w:bCs/>
          <w:i w:val="false"/>
          <w:iCs w:val="false"/>
          <w:color w:val="1F3864"/>
          <w:sz w:val="40"/>
          <w:szCs w:val="40"/>
        </w:rPr>
        <w:t xml:space="preserve">iPOMS</w:t>
      </w:r>
    </w:p>
    <w:p>
      <w:pPr>
        <w:spacing w:after="60"/>
        <w:jc w:val="center"/>
      </w:pPr>
      <w:r>
        <w:rPr>
          <w:b w:val="false"/>
          <w:bCs w:val="false"/>
          <w:i w:val="false"/>
          <w:iCs w:val="false"/>
          <w:color w:val="000000"/>
          <w:sz w:val="24"/>
          <w:szCs w:val="24"/>
        </w:rPr>
        <w:t xml:space="preserve">Infoziant Placement Operations Management System</w:t>
      </w:r>
    </w:p>
    <w:p>
      <w:pPr>
        <w:spacing w:after="500"/>
        <w:jc w:val="center"/>
      </w:pPr>
      <w:r>
        <w:rPr>
          <w:b w:val="false"/>
          <w:bCs w:val="false"/>
          <w:i/>
          <w:iCs/>
          <w:color w:val="0F6E6E"/>
          <w:sz w:val="18"/>
          <w:szCs w:val="18"/>
        </w:rPr>
        <w:t xml:space="preserve">“Empowering Placement Teams with Intelligent Operations.”</w:t>
      </w:r>
    </w:p>
    <w:p>
      <w:pPr>
        <w:spacing w:after="200"/>
        <w:jc w:val="center"/>
      </w:pPr>
      <w:r>
        <w:rPr>
          <w:b/>
          <w:bCs/>
          <w:i w:val="false"/>
          <w:iCs w:val="false"/>
          <w:color w:val="0F6E6E"/>
          <w:sz w:val="30"/>
          <w:szCs w:val="30"/>
        </w:rPr>
        <w:t xml:space="preserve">Module 06 – Reports &amp; Analytics Specification</w:t>
      </w:r>
    </w:p>
    <w:p>
      <w:pPr>
        <w:spacing w:after="40"/>
        <w:jc w:val="center"/>
      </w:pPr>
      <w:r>
        <w:rPr>
          <w:b w:val="false"/>
          <w:bCs w:val="false"/>
          <w:i w:val="false"/>
          <w:iCs w:val="false"/>
          <w:sz w:val="22"/>
          <w:szCs w:val="22"/>
        </w:rPr>
        <w:t xml:space="preserve">Document Version: v1.0</w:t>
      </w:r>
    </w:p>
    <w:p>
      <w:pPr>
        <w:spacing w:after="40"/>
        <w:jc w:val="center"/>
      </w:pPr>
      <w:r>
        <w:rPr>
          <w:b w:val="false"/>
          <w:bCs w:val="false"/>
          <w:i w:val="false"/>
          <w:iCs w:val="false"/>
          <w:sz w:val="22"/>
          <w:szCs w:val="22"/>
        </w:rPr>
        <w:t xml:space="preserve">Status: Completed — Approved for Internal Review</w:t>
      </w:r>
    </w:p>
    <w:p>
      <w:pPr>
        <w:spacing w:after="40"/>
        <w:jc w:val="center"/>
      </w:pPr>
      <w:r>
        <w:rPr>
          <w:b w:val="false"/>
          <w:bCs w:val="false"/>
          <w:i w:val="false"/>
          <w:iCs w:val="false"/>
          <w:sz w:val="22"/>
          <w:szCs w:val="22"/>
        </w:rPr>
        <w:t xml:space="preserve">Prepared By: A. Mohanaradha, Infoziant</w:t>
      </w:r>
    </w:p>
    <w:p>
      <w:pPr>
        <w:spacing w:after="40"/>
        <w:jc w:val="center"/>
      </w:pPr>
      <w:r>
        <w:rPr>
          <w:b w:val="false"/>
          <w:bCs w:val="false"/>
          <w:i w:val="false"/>
          <w:iCs w:val="false"/>
          <w:sz w:val="22"/>
          <w:szCs w:val="22"/>
        </w:rPr>
        <w:t xml:space="preserve">Prepared for: Chief Executive Officer, Infoziant</w:t>
      </w:r>
    </w:p>
    <w:p>
      <w:pPr>
        <w:spacing w:after="800"/>
        <w:jc w:val="center"/>
      </w:pPr>
      <w:r>
        <w:rPr>
          <w:b w:val="false"/>
          <w:bCs w:val="false"/>
          <w:i w:val="false"/>
          <w:iCs w:val="false"/>
          <w:sz w:val="22"/>
          <w:szCs w:val="22"/>
        </w:rPr>
        <w:t xml:space="preserve">Date: 24 July 2026</w:t>
      </w:r>
    </w:p>
    <w:p>
      <w:r>
        <w:br w:type="page"/>
      </w:r>
    </w:p>
    <w:p>
      <w:pPr>
        <w:pStyle w:val="Heading1"/>
      </w:pPr>
      <w:r>
        <w:t xml:space="preserve">Document Control</w:t>
      </w:r>
    </w:p>
    <w:tbl>
      <w:tblPr>
        <w:tblW w:type="dxa" w:w="9746"/>
        <w:tblBorders>
          <w:top w:val="single" w:color="999999" w:sz="4"/>
          <w:left w:val="single" w:color="999999" w:sz="4"/>
          <w:bottom w:val="single" w:color="999999" w:sz="4"/>
          <w:right w:val="single" w:color="999999" w:sz="4"/>
          <w:insideH w:val="single" w:color="999999" w:sz="4"/>
          <w:insideV w:val="single" w:color="999999" w:sz="4"/>
        </w:tblBorders>
      </w:tblPr>
      <w:tblGrid>
        <w:gridCol w:w="100"/>
        <w:gridCol w:w="100"/>
        <w:gridCol w:w="100"/>
        <w:gridCol w:w="100"/>
        <w:gridCol w:w="100"/>
      </w:tblGrid>
      <w:tr>
        <w:trPr>
          <w:tblHeader/>
        </w:trPr>
        <w:tc>
          <w:tcPr>
            <w:tcW w:type="dxa" w:w="1100"/>
            <w:shd w:fill="1F3864" w:color="auto" w:val="clear"/>
            <w:tcMar>
              <w:top w:type="dxa" w:w="80"/>
              <w:left w:type="dxa" w:w="100"/>
              <w:bottom w:type="dxa" w:w="80"/>
              <w:right w:type="dxa" w:w="100"/>
            </w:tcMar>
            <w:vAlign w:val="center"/>
          </w:tcPr>
          <w:p>
            <w:r>
              <w:rPr>
                <w:b/>
                <w:bCs/>
                <w:color w:val="FFFFFF"/>
              </w:rPr>
              <w:t xml:space="preserve">Version</w:t>
            </w:r>
          </w:p>
        </w:tc>
        <w:tc>
          <w:tcPr>
            <w:tcW w:type="dxa" w:w="1400"/>
            <w:shd w:fill="1F3864" w:color="auto" w:val="clear"/>
            <w:tcMar>
              <w:top w:type="dxa" w:w="80"/>
              <w:left w:type="dxa" w:w="100"/>
              <w:bottom w:type="dxa" w:w="80"/>
              <w:right w:type="dxa" w:w="100"/>
            </w:tcMar>
            <w:vAlign w:val="center"/>
          </w:tcPr>
          <w:p>
            <w:r>
              <w:rPr>
                <w:b/>
                <w:bCs/>
                <w:color w:val="FFFFFF"/>
              </w:rPr>
              <w:t xml:space="preserve">Date</w:t>
            </w:r>
          </w:p>
        </w:tc>
        <w:tc>
          <w:tcPr>
            <w:tcW w:type="dxa" w:w="4200"/>
            <w:shd w:fill="1F3864" w:color="auto" w:val="clear"/>
            <w:tcMar>
              <w:top w:type="dxa" w:w="80"/>
              <w:left w:type="dxa" w:w="100"/>
              <w:bottom w:type="dxa" w:w="80"/>
              <w:right w:type="dxa" w:w="100"/>
            </w:tcMar>
            <w:vAlign w:val="center"/>
          </w:tcPr>
          <w:p>
            <w:r>
              <w:rPr>
                <w:b/>
                <w:bCs/>
                <w:color w:val="FFFFFF"/>
              </w:rPr>
              <w:t xml:space="preserve">Description</w:t>
            </w:r>
          </w:p>
        </w:tc>
        <w:tc>
          <w:tcPr>
            <w:tcW w:type="dxa" w:w="1700"/>
            <w:shd w:fill="1F3864" w:color="auto" w:val="clear"/>
            <w:tcMar>
              <w:top w:type="dxa" w:w="80"/>
              <w:left w:type="dxa" w:w="100"/>
              <w:bottom w:type="dxa" w:w="80"/>
              <w:right w:type="dxa" w:w="100"/>
            </w:tcMar>
            <w:vAlign w:val="center"/>
          </w:tcPr>
          <w:p>
            <w:r>
              <w:rPr>
                <w:b/>
                <w:bCs/>
                <w:color w:val="FFFFFF"/>
              </w:rPr>
              <w:t xml:space="preserve">Prepared By</w:t>
            </w:r>
          </w:p>
        </w:tc>
        <w:tc>
          <w:tcPr>
            <w:tcW w:type="dxa" w:w="1346"/>
            <w:shd w:fill="1F3864" w:color="auto" w:val="clear"/>
            <w:tcMar>
              <w:top w:type="dxa" w:w="80"/>
              <w:left w:type="dxa" w:w="100"/>
              <w:bottom w:type="dxa" w:w="80"/>
              <w:right w:type="dxa" w:w="100"/>
            </w:tcMar>
            <w:vAlign w:val="center"/>
          </w:tcPr>
          <w:p>
            <w:r>
              <w:rPr>
                <w:b/>
                <w:bCs/>
                <w:color w:val="FFFFFF"/>
              </w:rPr>
              <w:t xml:space="preserve">Approved By</w:t>
            </w:r>
          </w:p>
        </w:tc>
      </w:tr>
      <w:tr>
        <w:tc>
          <w:tcPr>
            <w:tcW w:type="dxa" w:w="1100"/>
            <w:tcMar>
              <w:top w:type="dxa" w:w="80"/>
              <w:left w:type="dxa" w:w="100"/>
              <w:bottom w:type="dxa" w:w="80"/>
              <w:right w:type="dxa" w:w="100"/>
            </w:tcMar>
            <w:vAlign w:val="center"/>
          </w:tcPr>
          <w:p>
            <w:r>
              <w:rPr>
                <w:b w:val="false"/>
                <w:bCs w:val="false"/>
              </w:rPr>
              <w:t xml:space="preserve">v1.0</w:t>
            </w:r>
          </w:p>
        </w:tc>
        <w:tc>
          <w:tcPr>
            <w:tcW w:type="dxa" w:w="1400"/>
            <w:tcMar>
              <w:top w:type="dxa" w:w="80"/>
              <w:left w:type="dxa" w:w="100"/>
              <w:bottom w:type="dxa" w:w="80"/>
              <w:right w:type="dxa" w:w="100"/>
            </w:tcMar>
            <w:vAlign w:val="center"/>
          </w:tcPr>
          <w:p>
            <w:r>
              <w:rPr>
                <w:b w:val="false"/>
                <w:bCs w:val="false"/>
              </w:rPr>
              <w:t xml:space="preserve">24-Jul-2026</w:t>
            </w:r>
          </w:p>
        </w:tc>
        <w:tc>
          <w:tcPr>
            <w:tcW w:type="dxa" w:w="4200"/>
            <w:tcMar>
              <w:top w:type="dxa" w:w="80"/>
              <w:left w:type="dxa" w:w="100"/>
              <w:bottom w:type="dxa" w:w="80"/>
              <w:right w:type="dxa" w:w="100"/>
            </w:tcMar>
            <w:vAlign w:val="center"/>
          </w:tcPr>
          <w:p>
            <w:r>
              <w:rPr>
                <w:b w:val="false"/>
                <w:bCs w:val="false"/>
              </w:rPr>
              <w:t xml:space="preserve">Initial Version 1.0 functional specification for Reports &amp; Analytics (Module 06) — Analytics, Reports Library, and Report Builder, consolidated from stakeholder discussion.</w:t>
            </w:r>
          </w:p>
        </w:tc>
        <w:tc>
          <w:tcPr>
            <w:tcW w:type="dxa" w:w="1700"/>
            <w:tcMar>
              <w:top w:type="dxa" w:w="80"/>
              <w:left w:type="dxa" w:w="100"/>
              <w:bottom w:type="dxa" w:w="80"/>
              <w:right w:type="dxa" w:w="100"/>
            </w:tcMar>
            <w:vAlign w:val="center"/>
          </w:tcPr>
          <w:p>
            <w:r>
              <w:rPr>
                <w:b w:val="false"/>
                <w:bCs w:val="false"/>
              </w:rPr>
              <w:t xml:space="preserve">A. Mohanaradha, Infoziant</w:t>
            </w:r>
          </w:p>
        </w:tc>
        <w:tc>
          <w:tcPr>
            <w:tcW w:type="dxa" w:w="1346"/>
            <w:tcMar>
              <w:top w:type="dxa" w:w="80"/>
              <w:left w:type="dxa" w:w="100"/>
              <w:bottom w:type="dxa" w:w="80"/>
              <w:right w:type="dxa" w:w="100"/>
            </w:tcMar>
            <w:vAlign w:val="center"/>
          </w:tcPr>
          <w:p>
            <w:r>
              <w:rPr>
                <w:b w:val="false"/>
                <w:bCs w:val="false"/>
              </w:rPr>
              <w:t xml:space="preserve">Pending</w:t>
            </w:r>
          </w:p>
        </w:tc>
      </w:tr>
    </w:tbl>
    <w:p>
      <w:r>
        <w:t xml:space="preserve"/>
      </w:r>
    </w:p>
    <w:p>
      <w:pPr>
        <w:pStyle w:val="Heading1"/>
      </w:pPr>
      <w: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Executive Summary</w:t>
      </w:r>
    </w:p>
    <w:p>
      <w:pPr>
        <w:spacing w:after="160"/>
      </w:pPr>
      <w:r>
        <w:t xml:space="preserve">This document defines Module 06 – Reports &amp; Analytics for the AMR Coordinator Portal (iPOMS). It consolidates the stakeholder discussion covering live analytics, the report library, and the Report Builder into a single functional specification.</w:t>
      </w:r>
    </w:p>
    <w:p>
      <w:pPr>
        <w:spacing w:after="160"/>
      </w:pPr>
      <w:r>
        <w:t xml:space="preserve">Module 06 is the Business Intelligence and Report Automation Center of iPOMS — the module that converts operational data captured across Daily Tracker (Module 03), Weekly Tracker (Module 04), and Daily Leads (Module 05) into live insights and polished, branded reports for both internal review and external sharing with college management.</w:t>
      </w:r>
    </w:p>
    <w:p>
      <w:pPr>
        <w:pStyle w:val="Heading1"/>
      </w:pPr>
      <w:r>
        <w:t xml:space="preserve">2. Purpose</w:t>
      </w:r>
    </w:p>
    <w:p>
      <w:pPr>
        <w:spacing w:after="160"/>
      </w:pPr>
      <w:r>
        <w:t xml:space="preserve">Reports &amp; Analytics exists to remove the team’s dependency on manual tools such as Canva and Excel for weekly and monthly reporting, while giving Placement Coordinators, Team Leaders, and Administrators a live, interactive view of operational performance.</w:t>
      </w:r>
    </w:p>
    <w:p>
      <w:pPr>
        <w:spacing w:after="160"/>
      </w:pPr>
      <w:r>
        <w:t xml:space="preserve">The module serves two distinct audiences: internal stakeholders who analyze trends and make decisions, and college management, who receive polished exported reports rather than direct system access.</w:t>
      </w:r>
    </w:p>
    <w:p>
      <w:pPr>
        <w:pStyle w:val="Heading1"/>
      </w:pPr>
      <w:r>
        <w:t xml:space="preserve">3. Module Philosophy</w:t>
      </w:r>
    </w:p>
    <w:p>
      <w:pPr>
        <w:spacing w:after="160"/>
      </w:pPr>
      <w:r>
        <w:t xml:space="preserve">The module follows three simple principles.</w:t>
      </w:r>
    </w:p>
    <w:p>
      <w:pPr>
        <w:pStyle w:val="Heading2"/>
      </w:pPr>
      <w:r>
        <w:t xml:space="preserve">3.1 Analyze</w:t>
      </w:r>
    </w:p>
    <w:p>
      <w:pPr>
        <w:spacing w:after="160"/>
      </w:pPr>
      <w:r>
        <w:t xml:space="preserve">Help users understand operational performance — for example, how many companies were contacted, which coordinator performed best, which college is progressing well, and which companies have gone quiet.</w:t>
      </w:r>
    </w:p>
    <w:p>
      <w:pPr>
        <w:pStyle w:val="Heading2"/>
      </w:pPr>
      <w:r>
        <w:t xml:space="preserve">3.2 Generate</w:t>
      </w:r>
    </w:p>
    <w:p>
      <w:pPr>
        <w:spacing w:after="160"/>
      </w:pPr>
      <w:r>
        <w:t xml:space="preserve">Automatically create professional reports from live system data. No manual Canva work, no copy-paste, no Excel formatting.</w:t>
      </w:r>
    </w:p>
    <w:p>
      <w:pPr>
        <w:pStyle w:val="Heading2"/>
      </w:pPr>
      <w:r>
        <w:t xml:space="preserve">3.3 Share</w:t>
      </w:r>
    </w:p>
    <w:p>
      <w:pPr>
        <w:spacing w:after="160"/>
      </w:pPr>
      <w:r>
        <w:t xml:space="preserve">Allow users to export reports in professional formats — PDF, Excel, PNG — and share them with college management or internally.</w:t>
      </w:r>
    </w:p>
    <w:p>
      <w:pPr>
        <w:pStyle w:val="Heading1"/>
      </w:pPr>
      <w:r>
        <w:t xml:space="preserve">4. Who Can Access This Module</w:t>
      </w:r>
    </w:p>
    <w:tbl>
      <w:tblPr>
        <w:tblW w:type="dxa" w:w="9746"/>
        <w:tblBorders>
          <w:top w:val="single" w:color="999999" w:sz="4"/>
          <w:left w:val="single" w:color="999999" w:sz="4"/>
          <w:bottom w:val="single" w:color="999999" w:sz="4"/>
          <w:right w:val="single" w:color="999999" w:sz="4"/>
          <w:insideH w:val="single" w:color="999999" w:sz="4"/>
          <w:insideV w:val="single" w:color="999999" w:sz="4"/>
        </w:tblBorders>
      </w:tblPr>
      <w:tblGrid>
        <w:gridCol w:w="100"/>
        <w:gridCol w:w="100"/>
      </w:tblGrid>
      <w:tr>
        <w:trPr>
          <w:tblHeader/>
        </w:trPr>
        <w:tc>
          <w:tcPr>
            <w:tcW w:type="dxa" w:w="6000"/>
            <w:shd w:fill="1F3864" w:color="auto" w:val="clear"/>
            <w:tcMar>
              <w:top w:type="dxa" w:w="80"/>
              <w:left w:type="dxa" w:w="100"/>
              <w:bottom w:type="dxa" w:w="80"/>
              <w:right w:type="dxa" w:w="100"/>
            </w:tcMar>
            <w:vAlign w:val="center"/>
          </w:tcPr>
          <w:p>
            <w:r>
              <w:rPr>
                <w:b/>
                <w:bCs/>
                <w:color w:val="FFFFFF"/>
              </w:rPr>
              <w:t xml:space="preserve">Role</w:t>
            </w:r>
          </w:p>
        </w:tc>
        <w:tc>
          <w:tcPr>
            <w:tcW w:type="dxa" w:w="3746"/>
            <w:shd w:fill="1F3864" w:color="auto" w:val="clear"/>
            <w:tcMar>
              <w:top w:type="dxa" w:w="80"/>
              <w:left w:type="dxa" w:w="100"/>
              <w:bottom w:type="dxa" w:w="80"/>
              <w:right w:type="dxa" w:w="100"/>
            </w:tcMar>
            <w:vAlign w:val="center"/>
          </w:tcPr>
          <w:p>
            <w:r>
              <w:rPr>
                <w:b/>
                <w:bCs/>
                <w:color w:val="FFFFFF"/>
              </w:rPr>
              <w:t xml:space="preserve">Access</w:t>
            </w:r>
          </w:p>
        </w:tc>
      </w:tr>
      <w:tr>
        <w:tc>
          <w:tcPr>
            <w:tcW w:type="dxa" w:w="6000"/>
            <w:tcMar>
              <w:top w:type="dxa" w:w="80"/>
              <w:left w:type="dxa" w:w="100"/>
              <w:bottom w:type="dxa" w:w="80"/>
              <w:right w:type="dxa" w:w="100"/>
            </w:tcMar>
            <w:vAlign w:val="center"/>
          </w:tcPr>
          <w:p>
            <w:r>
              <w:rPr>
                <w:b w:val="false"/>
                <w:bCs w:val="false"/>
              </w:rPr>
              <w:t xml:space="preserve">Placement Coordinator</w:t>
            </w:r>
          </w:p>
        </w:tc>
        <w:tc>
          <w:tcPr>
            <w:tcW w:type="dxa" w:w="3746"/>
            <w:tcMar>
              <w:top w:type="dxa" w:w="80"/>
              <w:left w:type="dxa" w:w="100"/>
              <w:bottom w:type="dxa" w:w="80"/>
              <w:right w:type="dxa" w:w="100"/>
            </w:tcMar>
            <w:vAlign w:val="center"/>
          </w:tcPr>
          <w:p>
            <w:r>
              <w:rPr>
                <w:b w:val="false"/>
                <w:bCs w:val="false"/>
              </w:rPr>
              <w:t xml:space="preserve">Yes</w:t>
            </w:r>
          </w:p>
        </w:tc>
      </w:tr>
      <w:tr>
        <w:tc>
          <w:tcPr>
            <w:tcW w:type="dxa" w:w="6000"/>
            <w:shd w:fill="F2F2F2" w:color="auto" w:val="clear"/>
            <w:tcMar>
              <w:top w:type="dxa" w:w="80"/>
              <w:left w:type="dxa" w:w="100"/>
              <w:bottom w:type="dxa" w:w="80"/>
              <w:right w:type="dxa" w:w="100"/>
            </w:tcMar>
            <w:vAlign w:val="center"/>
          </w:tcPr>
          <w:p>
            <w:r>
              <w:rPr>
                <w:b w:val="false"/>
                <w:bCs w:val="false"/>
              </w:rPr>
              <w:t xml:space="preserve">Team Leader</w:t>
            </w:r>
          </w:p>
        </w:tc>
        <w:tc>
          <w:tcPr>
            <w:tcW w:type="dxa" w:w="3746"/>
            <w:shd w:fill="F2F2F2" w:color="auto" w:val="clear"/>
            <w:tcMar>
              <w:top w:type="dxa" w:w="80"/>
              <w:left w:type="dxa" w:w="100"/>
              <w:bottom w:type="dxa" w:w="80"/>
              <w:right w:type="dxa" w:w="100"/>
            </w:tcMar>
            <w:vAlign w:val="center"/>
          </w:tcPr>
          <w:p>
            <w:r>
              <w:rPr>
                <w:b w:val="false"/>
                <w:bCs w:val="false"/>
              </w:rPr>
              <w:t xml:space="preserve">Yes</w:t>
            </w:r>
          </w:p>
        </w:tc>
      </w:tr>
      <w:tr>
        <w:tc>
          <w:tcPr>
            <w:tcW w:type="dxa" w:w="6000"/>
            <w:tcMar>
              <w:top w:type="dxa" w:w="80"/>
              <w:left w:type="dxa" w:w="100"/>
              <w:bottom w:type="dxa" w:w="80"/>
              <w:right w:type="dxa" w:w="100"/>
            </w:tcMar>
            <w:vAlign w:val="center"/>
          </w:tcPr>
          <w:p>
            <w:r>
              <w:rPr>
                <w:b w:val="false"/>
                <w:bCs w:val="false"/>
              </w:rPr>
              <w:t xml:space="preserve">Administrator</w:t>
            </w:r>
          </w:p>
        </w:tc>
        <w:tc>
          <w:tcPr>
            <w:tcW w:type="dxa" w:w="3746"/>
            <w:tcMar>
              <w:top w:type="dxa" w:w="80"/>
              <w:left w:type="dxa" w:w="100"/>
              <w:bottom w:type="dxa" w:w="80"/>
              <w:right w:type="dxa" w:w="100"/>
            </w:tcMar>
            <w:vAlign w:val="center"/>
          </w:tcPr>
          <w:p>
            <w:r>
              <w:rPr>
                <w:b w:val="false"/>
                <w:bCs w:val="false"/>
              </w:rPr>
              <w:t xml:space="preserve">Yes</w:t>
            </w:r>
          </w:p>
        </w:tc>
      </w:tr>
      <w:tr>
        <w:tc>
          <w:tcPr>
            <w:tcW w:type="dxa" w:w="6000"/>
            <w:shd w:fill="F2F2F2" w:color="auto" w:val="clear"/>
            <w:tcMar>
              <w:top w:type="dxa" w:w="80"/>
              <w:left w:type="dxa" w:w="100"/>
              <w:bottom w:type="dxa" w:w="80"/>
              <w:right w:type="dxa" w:w="100"/>
            </w:tcMar>
            <w:vAlign w:val="center"/>
          </w:tcPr>
          <w:p>
            <w:r>
              <w:rPr>
                <w:b w:val="false"/>
                <w:bCs w:val="false"/>
              </w:rPr>
              <w:t xml:space="preserve">Training &amp; Placement Officer (College)</w:t>
            </w:r>
          </w:p>
        </w:tc>
        <w:tc>
          <w:tcPr>
            <w:tcW w:type="dxa" w:w="3746"/>
            <w:shd w:fill="F2F2F2" w:color="auto" w:val="clear"/>
            <w:tcMar>
              <w:top w:type="dxa" w:w="80"/>
              <w:left w:type="dxa" w:w="100"/>
              <w:bottom w:type="dxa" w:w="80"/>
              <w:right w:type="dxa" w:w="100"/>
            </w:tcMar>
            <w:vAlign w:val="center"/>
          </w:tcPr>
          <w:p>
            <w:r>
              <w:rPr>
                <w:b w:val="false"/>
                <w:bCs w:val="false"/>
              </w:rPr>
              <w:t xml:space="preserve">No — receives exported reports, not direct system access</w:t>
            </w:r>
          </w:p>
        </w:tc>
      </w:tr>
    </w:tbl>
    <w:p>
      <w:r>
        <w:t xml:space="preserve"/>
      </w:r>
    </w:p>
    <w:p>
      <w:pPr>
        <w:spacing w:after="160"/>
      </w:pPr>
      <w:r>
        <w:t xml:space="preserve">All three internal roles use the module; reports are prepared primarily for college management and internal review.</w:t>
      </w:r>
    </w:p>
    <w:p>
      <w:pPr>
        <w:pStyle w:val="Heading1"/>
      </w:pPr>
      <w:r>
        <w:t xml:space="preserve">5. Data Sources</w:t>
      </w:r>
    </w:p>
    <w:p>
      <w:pPr>
        <w:spacing w:after="160"/>
      </w:pPr>
      <w:r>
        <w:t xml:space="preserve">The module holds no operational data of its own — it reads and consolidates information already captured elsewhere in iPOMS.</w:t>
      </w:r>
    </w:p>
    <w:tbl>
      <w:tblPr>
        <w:tblW w:type="dxa" w:w="9746"/>
        <w:tblBorders>
          <w:top w:val="single" w:color="999999" w:sz="4"/>
          <w:left w:val="single" w:color="999999" w:sz="4"/>
          <w:bottom w:val="single" w:color="999999" w:sz="4"/>
          <w:right w:val="single" w:color="999999" w:sz="4"/>
          <w:insideH w:val="single" w:color="999999" w:sz="4"/>
          <w:insideV w:val="single" w:color="999999" w:sz="4"/>
        </w:tblBorders>
      </w:tblPr>
      <w:tblGrid>
        <w:gridCol w:w="100"/>
        <w:gridCol w:w="100"/>
      </w:tblGrid>
      <w:tr>
        <w:trPr>
          <w:tblHeader/>
        </w:trPr>
        <w:tc>
          <w:tcPr>
            <w:tcW w:type="dxa" w:w="3200"/>
            <w:shd w:fill="1F3864" w:color="auto" w:val="clear"/>
            <w:tcMar>
              <w:top w:type="dxa" w:w="80"/>
              <w:left w:type="dxa" w:w="100"/>
              <w:bottom w:type="dxa" w:w="80"/>
              <w:right w:type="dxa" w:w="100"/>
            </w:tcMar>
            <w:vAlign w:val="center"/>
          </w:tcPr>
          <w:p>
            <w:r>
              <w:rPr>
                <w:b/>
                <w:bCs/>
                <w:color w:val="FFFFFF"/>
              </w:rPr>
              <w:t xml:space="preserve">Source Module</w:t>
            </w:r>
          </w:p>
        </w:tc>
        <w:tc>
          <w:tcPr>
            <w:tcW w:type="dxa" w:w="6546"/>
            <w:shd w:fill="1F3864" w:color="auto" w:val="clear"/>
            <w:tcMar>
              <w:top w:type="dxa" w:w="80"/>
              <w:left w:type="dxa" w:w="100"/>
              <w:bottom w:type="dxa" w:w="80"/>
              <w:right w:type="dxa" w:w="100"/>
            </w:tcMar>
            <w:vAlign w:val="center"/>
          </w:tcPr>
          <w:p>
            <w:r>
              <w:rPr>
                <w:b/>
                <w:bCs/>
                <w:color w:val="FFFFFF"/>
              </w:rPr>
              <w:t xml:space="preserve">Provides</w:t>
            </w:r>
          </w:p>
        </w:tc>
      </w:tr>
      <w:tr>
        <w:tc>
          <w:tcPr>
            <w:tcW w:type="dxa" w:w="3200"/>
            <w:tcMar>
              <w:top w:type="dxa" w:w="80"/>
              <w:left w:type="dxa" w:w="100"/>
              <w:bottom w:type="dxa" w:w="80"/>
              <w:right w:type="dxa" w:w="100"/>
            </w:tcMar>
            <w:vAlign w:val="center"/>
          </w:tcPr>
          <w:p>
            <w:r>
              <w:rPr>
                <w:b w:val="false"/>
                <w:bCs w:val="false"/>
              </w:rPr>
              <w:t xml:space="preserve">User Management</w:t>
            </w:r>
          </w:p>
        </w:tc>
        <w:tc>
          <w:tcPr>
            <w:tcW w:type="dxa" w:w="6546"/>
            <w:tcMar>
              <w:top w:type="dxa" w:w="80"/>
              <w:left w:type="dxa" w:w="100"/>
              <w:bottom w:type="dxa" w:w="80"/>
              <w:right w:type="dxa" w:w="100"/>
            </w:tcMar>
            <w:vAlign w:val="center"/>
          </w:tcPr>
          <w:p>
            <w:r>
              <w:rPr>
                <w:b w:val="false"/>
                <w:bCs w:val="false"/>
              </w:rPr>
              <w:t xml:space="preserve">Coordinator names, Team Leader names, assigned colleges</w:t>
            </w:r>
          </w:p>
        </w:tc>
      </w:tr>
      <w:tr>
        <w:tc>
          <w:tcPr>
            <w:tcW w:type="dxa" w:w="3200"/>
            <w:shd w:fill="F2F2F2" w:color="auto" w:val="clear"/>
            <w:tcMar>
              <w:top w:type="dxa" w:w="80"/>
              <w:left w:type="dxa" w:w="100"/>
              <w:bottom w:type="dxa" w:w="80"/>
              <w:right w:type="dxa" w:w="100"/>
            </w:tcMar>
            <w:vAlign w:val="center"/>
          </w:tcPr>
          <w:p>
            <w:r>
              <w:rPr>
                <w:b w:val="false"/>
                <w:bCs w:val="false"/>
              </w:rPr>
              <w:t xml:space="preserve">Master Company Database</w:t>
            </w:r>
          </w:p>
        </w:tc>
        <w:tc>
          <w:tcPr>
            <w:tcW w:type="dxa" w:w="6546"/>
            <w:shd w:fill="F2F2F2" w:color="auto" w:val="clear"/>
            <w:tcMar>
              <w:top w:type="dxa" w:w="80"/>
              <w:left w:type="dxa" w:w="100"/>
              <w:bottom w:type="dxa" w:w="80"/>
              <w:right w:type="dxa" w:w="100"/>
            </w:tcMar>
            <w:vAlign w:val="center"/>
          </w:tcPr>
          <w:p>
            <w:r>
              <w:rPr>
                <w:b w:val="false"/>
                <w:bCs w:val="false"/>
              </w:rPr>
              <w:t xml:space="preserve">Company details, HR details, company categories</w:t>
            </w:r>
          </w:p>
        </w:tc>
      </w:tr>
      <w:tr>
        <w:tc>
          <w:tcPr>
            <w:tcW w:type="dxa" w:w="3200"/>
            <w:tcMar>
              <w:top w:type="dxa" w:w="80"/>
              <w:left w:type="dxa" w:w="100"/>
              <w:bottom w:type="dxa" w:w="80"/>
              <w:right w:type="dxa" w:w="100"/>
            </w:tcMar>
            <w:vAlign w:val="center"/>
          </w:tcPr>
          <w:p>
            <w:r>
              <w:rPr>
                <w:b w:val="false"/>
                <w:bCs w:val="false"/>
              </w:rPr>
              <w:t xml:space="preserve">Daily Tracker (Module 03)</w:t>
            </w:r>
          </w:p>
        </w:tc>
        <w:tc>
          <w:tcPr>
            <w:tcW w:type="dxa" w:w="6546"/>
            <w:tcMar>
              <w:top w:type="dxa" w:w="80"/>
              <w:left w:type="dxa" w:w="100"/>
              <w:bottom w:type="dxa" w:w="80"/>
              <w:right w:type="dxa" w:w="100"/>
            </w:tcMar>
            <w:vAlign w:val="center"/>
          </w:tcPr>
          <w:p>
            <w:r>
              <w:rPr>
                <w:b w:val="false"/>
                <w:bCs w:val="false"/>
              </w:rPr>
              <w:t xml:space="preserve">Calls, follow-ups, daily activities, call outcomes</w:t>
            </w:r>
          </w:p>
        </w:tc>
      </w:tr>
      <w:tr>
        <w:tc>
          <w:tcPr>
            <w:tcW w:type="dxa" w:w="3200"/>
            <w:shd w:fill="F2F2F2" w:color="auto" w:val="clear"/>
            <w:tcMar>
              <w:top w:type="dxa" w:w="80"/>
              <w:left w:type="dxa" w:w="100"/>
              <w:bottom w:type="dxa" w:w="80"/>
              <w:right w:type="dxa" w:w="100"/>
            </w:tcMar>
            <w:vAlign w:val="center"/>
          </w:tcPr>
          <w:p>
            <w:r>
              <w:rPr>
                <w:b w:val="false"/>
                <w:bCs w:val="false"/>
              </w:rPr>
              <w:t xml:space="preserve">Weekly Tracker (Module 04)</w:t>
            </w:r>
          </w:p>
        </w:tc>
        <w:tc>
          <w:tcPr>
            <w:tcW w:type="dxa" w:w="6546"/>
            <w:shd w:fill="F2F2F2" w:color="auto" w:val="clear"/>
            <w:tcMar>
              <w:top w:type="dxa" w:w="80"/>
              <w:left w:type="dxa" w:w="100"/>
              <w:bottom w:type="dxa" w:w="80"/>
              <w:right w:type="dxa" w:w="100"/>
            </w:tcMar>
            <w:vAlign w:val="center"/>
          </w:tcPr>
          <w:p>
            <w:r>
              <w:rPr>
                <w:b w:val="false"/>
                <w:bCs w:val="false"/>
              </w:rPr>
              <w:t xml:space="preserve">Completed, In Progress, Pipeline, and Rejected companies; follow-up status</w:t>
            </w:r>
          </w:p>
        </w:tc>
      </w:tr>
      <w:tr>
        <w:tc>
          <w:tcPr>
            <w:tcW w:type="dxa" w:w="3200"/>
            <w:tcMar>
              <w:top w:type="dxa" w:w="80"/>
              <w:left w:type="dxa" w:w="100"/>
              <w:bottom w:type="dxa" w:w="80"/>
              <w:right w:type="dxa" w:w="100"/>
            </w:tcMar>
            <w:vAlign w:val="center"/>
          </w:tcPr>
          <w:p>
            <w:r>
              <w:rPr>
                <w:b w:val="false"/>
                <w:bCs w:val="false"/>
              </w:rPr>
              <w:t xml:space="preserve">Daily Leads (Module 05)</w:t>
            </w:r>
          </w:p>
        </w:tc>
        <w:tc>
          <w:tcPr>
            <w:tcW w:type="dxa" w:w="6546"/>
            <w:tcMar>
              <w:top w:type="dxa" w:w="80"/>
              <w:left w:type="dxa" w:w="100"/>
              <w:bottom w:type="dxa" w:w="80"/>
              <w:right w:type="dxa" w:w="100"/>
            </w:tcMar>
            <w:vAlign w:val="center"/>
          </w:tcPr>
          <w:p>
            <w:r>
              <w:rPr>
                <w:b w:val="false"/>
                <w:bCs w:val="false"/>
              </w:rPr>
              <w:t xml:space="preserve">Positive responses, JD received, company opportunities</w:t>
            </w:r>
          </w:p>
        </w:tc>
      </w:tr>
    </w:tbl>
    <w:p>
      <w:r>
        <w:t xml:space="preserve"/>
      </w:r>
    </w:p>
    <w:p>
      <w:pPr>
        <w:spacing w:after="160"/>
      </w:pPr>
      <w:r>
        <w:t xml:space="preserve">Everything shown in Reports &amp; Analytics is derived from these modules — nothing is re-typed or re-keyed.</w:t>
      </w:r>
    </w:p>
    <w:p>
      <w:pPr>
        <w:pStyle w:val="Heading1"/>
      </w:pPr>
      <w:r>
        <w:t xml:space="preserve">6. Module Structure Overview</w:t>
      </w:r>
    </w:p>
    <w:p>
      <w:pPr>
        <w:spacing w:after="160"/>
      </w:pPr>
      <w:r>
        <w:t xml:space="preserve">Reports &amp; Analytics is organized into three sections:</w:t>
      </w:r>
    </w:p>
    <w:p>
      <w:pPr>
        <w:pStyle w:val="ListParagraph"/>
        <w:numPr>
          <w:ilvl w:val="0"/>
          <w:numId w:val="1"/>
        </w:numPr>
        <w:spacing w:after="60"/>
      </w:pPr>
      <w:r>
        <w:t xml:space="preserve">Analytics — interactive exploration of live data; never exported as a document.</w:t>
      </w:r>
    </w:p>
    <w:p>
      <w:pPr>
        <w:pStyle w:val="ListParagraph"/>
        <w:numPr>
          <w:ilvl w:val="0"/>
          <w:numId w:val="1"/>
        </w:numPr>
        <w:spacing w:after="60"/>
      </w:pPr>
      <w:r>
        <w:t xml:space="preserve">Reports — a library of the four finalized report templates.</w:t>
      </w:r>
    </w:p>
    <w:p>
      <w:pPr>
        <w:pStyle w:val="ListParagraph"/>
        <w:numPr>
          <w:ilvl w:val="0"/>
          <w:numId w:val="1"/>
        </w:numPr>
        <w:spacing w:after="60"/>
      </w:pPr>
      <w:r>
        <w:t xml:space="preserve">Report Builder — generates a branded, editable report from live data on demand.</w:t>
      </w:r>
    </w:p>
    <w:p>
      <w:pPr>
        <w:pStyle w:val="Heading1"/>
      </w:pPr>
      <w:r>
        <w:t xml:space="preserve">7. Section 1 — Analytics</w:t>
      </w:r>
    </w:p>
    <w:p>
      <w:pPr>
        <w:pStyle w:val="Heading2"/>
      </w:pPr>
      <w:r>
        <w:t xml:space="preserve">7.1 Purpose</w:t>
      </w:r>
    </w:p>
    <w:p>
      <w:pPr>
        <w:spacing w:after="160"/>
      </w:pPr>
      <w:r>
        <w:t xml:space="preserve">Interactive business analysis. This section is not used for exports; it helps users understand trends and performance in real time.</w:t>
      </w:r>
    </w:p>
    <w:p>
      <w:pPr>
        <w:pStyle w:val="Heading2"/>
      </w:pPr>
      <w:r>
        <w:t xml:space="preserve">7.2 KPI Cards</w:t>
      </w:r>
    </w:p>
    <w:p>
      <w:pPr>
        <w:pStyle w:val="ListParagraph"/>
        <w:numPr>
          <w:ilvl w:val="0"/>
          <w:numId w:val="1"/>
        </w:numPr>
        <w:spacing w:after="60"/>
      </w:pPr>
      <w:r>
        <w:t xml:space="preserve">Total Calls</w:t>
      </w:r>
    </w:p>
    <w:p>
      <w:pPr>
        <w:pStyle w:val="ListParagraph"/>
        <w:numPr>
          <w:ilvl w:val="0"/>
          <w:numId w:val="1"/>
        </w:numPr>
        <w:spacing w:after="60"/>
      </w:pPr>
      <w:r>
        <w:t xml:space="preserve">Positive Responses</w:t>
      </w:r>
    </w:p>
    <w:p>
      <w:pPr>
        <w:pStyle w:val="ListParagraph"/>
        <w:numPr>
          <w:ilvl w:val="0"/>
          <w:numId w:val="1"/>
        </w:numPr>
        <w:spacing w:after="60"/>
      </w:pPr>
      <w:r>
        <w:t xml:space="preserve">Companies Contacted</w:t>
      </w:r>
    </w:p>
    <w:p>
      <w:pPr>
        <w:pStyle w:val="ListParagraph"/>
        <w:numPr>
          <w:ilvl w:val="0"/>
          <w:numId w:val="1"/>
        </w:numPr>
        <w:spacing w:after="60"/>
      </w:pPr>
      <w:r>
        <w:t xml:space="preserve">Active Colleges</w:t>
      </w:r>
    </w:p>
    <w:p>
      <w:pPr>
        <w:pStyle w:val="ListParagraph"/>
        <w:numPr>
          <w:ilvl w:val="0"/>
          <w:numId w:val="1"/>
        </w:numPr>
        <w:spacing w:after="60"/>
      </w:pPr>
      <w:r>
        <w:t xml:space="preserve">JD Received</w:t>
      </w:r>
    </w:p>
    <w:p>
      <w:pPr>
        <w:pStyle w:val="ListParagraph"/>
        <w:numPr>
          <w:ilvl w:val="0"/>
          <w:numId w:val="1"/>
        </w:numPr>
        <w:spacing w:after="60"/>
      </w:pPr>
      <w:r>
        <w:t xml:space="preserve">Follow-ups Completed</w:t>
      </w:r>
    </w:p>
    <w:p>
      <w:pPr>
        <w:pStyle w:val="Heading2"/>
      </w:pPr>
      <w:r>
        <w:t xml:space="preserve">7.3 Comparisons</w:t>
      </w:r>
    </w:p>
    <w:p>
      <w:pPr>
        <w:pStyle w:val="ListParagraph"/>
        <w:numPr>
          <w:ilvl w:val="0"/>
          <w:numId w:val="1"/>
        </w:numPr>
        <w:spacing w:after="60"/>
      </w:pPr>
      <w:r>
        <w:t xml:space="preserve">Weekly Comparison — this week vs last week.</w:t>
      </w:r>
    </w:p>
    <w:p>
      <w:pPr>
        <w:pStyle w:val="ListParagraph"/>
        <w:numPr>
          <w:ilvl w:val="0"/>
          <w:numId w:val="1"/>
        </w:numPr>
        <w:spacing w:after="60"/>
      </w:pPr>
      <w:r>
        <w:t xml:space="preserve">Monthly Comparison — current month vs previous month.</w:t>
      </w:r>
    </w:p>
    <w:p>
      <w:pPr>
        <w:pStyle w:val="ListParagraph"/>
        <w:numPr>
          <w:ilvl w:val="0"/>
          <w:numId w:val="1"/>
        </w:numPr>
        <w:spacing w:after="60"/>
      </w:pPr>
      <w:r>
        <w:t xml:space="preserve">Coordinator Comparison — Coordinator A vs Coordinator B.</w:t>
      </w:r>
    </w:p>
    <w:p>
      <w:pPr>
        <w:pStyle w:val="ListParagraph"/>
        <w:numPr>
          <w:ilvl w:val="0"/>
          <w:numId w:val="1"/>
        </w:numPr>
        <w:spacing w:after="60"/>
      </w:pPr>
      <w:r>
        <w:t xml:space="preserve">College Comparison — College A vs College B.</w:t>
      </w:r>
    </w:p>
    <w:p>
      <w:pPr>
        <w:pStyle w:val="Heading2"/>
      </w:pPr>
      <w:r>
        <w:t xml:space="preserve">7.4 Company Analytics</w:t>
      </w:r>
    </w:p>
    <w:p>
      <w:pPr>
        <w:spacing w:after="160"/>
      </w:pPr>
      <w:r>
        <w:t xml:space="preserve">A dedicated Company Report was considered and rejected (see Section 8.2.2); this information lives here instead, as live analytics rather than an exportable document:</w:t>
      </w:r>
    </w:p>
    <w:p>
      <w:pPr>
        <w:pStyle w:val="ListParagraph"/>
        <w:numPr>
          <w:ilvl w:val="0"/>
          <w:numId w:val="1"/>
        </w:numPr>
        <w:spacing w:after="60"/>
      </w:pPr>
      <w:r>
        <w:t xml:space="preserve">Most Responsive Company</w:t>
      </w:r>
    </w:p>
    <w:p>
      <w:pPr>
        <w:pStyle w:val="ListParagraph"/>
        <w:numPr>
          <w:ilvl w:val="0"/>
          <w:numId w:val="1"/>
        </w:numPr>
        <w:spacing w:after="60"/>
      </w:pPr>
      <w:r>
        <w:t xml:space="preserve">Least Responsive Company</w:t>
      </w:r>
    </w:p>
    <w:p>
      <w:pPr>
        <w:pStyle w:val="ListParagraph"/>
        <w:numPr>
          <w:ilvl w:val="0"/>
          <w:numId w:val="1"/>
        </w:numPr>
        <w:spacing w:after="60"/>
      </w:pPr>
      <w:r>
        <w:t xml:space="preserve">Companies Awaiting Follow-up</w:t>
      </w:r>
    </w:p>
    <w:p>
      <w:pPr>
        <w:pStyle w:val="ListParagraph"/>
        <w:numPr>
          <w:ilvl w:val="0"/>
          <w:numId w:val="1"/>
        </w:numPr>
        <w:spacing w:after="60"/>
      </w:pPr>
      <w:r>
        <w:t xml:space="preserve">Highest Package Companies</w:t>
      </w:r>
    </w:p>
    <w:p>
      <w:pPr>
        <w:pStyle w:val="ListParagraph"/>
        <w:numPr>
          <w:ilvl w:val="0"/>
          <w:numId w:val="1"/>
        </w:numPr>
        <w:spacing w:after="60"/>
      </w:pPr>
      <w:r>
        <w:t xml:space="preserve">Top Recruiting Companies</w:t>
      </w:r>
    </w:p>
    <w:p>
      <w:pPr>
        <w:pStyle w:val="ListParagraph"/>
        <w:numPr>
          <w:ilvl w:val="0"/>
          <w:numId w:val="1"/>
        </w:numPr>
        <w:spacing w:after="60"/>
      </w:pPr>
      <w:r>
        <w:t xml:space="preserve">Companies by Industry</w:t>
      </w:r>
    </w:p>
    <w:p>
      <w:pPr>
        <w:pStyle w:val="Heading2"/>
      </w:pPr>
      <w:r>
        <w:t xml:space="preserve">7.5 Insights Panel</w:t>
      </w:r>
    </w:p>
    <w:p>
      <w:pPr>
        <w:spacing w:after="160"/>
      </w:pPr>
      <w:r>
        <w:t xml:space="preserve">Rather than showing only numbers, the system automatically generates meaningful observations across four categories:</w:t>
      </w:r>
    </w:p>
    <w:p>
      <w:pPr>
        <w:pStyle w:val="ListParagraph"/>
        <w:numPr>
          <w:ilvl w:val="0"/>
          <w:numId w:val="1"/>
        </w:numPr>
        <w:spacing w:after="60"/>
      </w:pPr>
      <w:r>
        <w:t xml:space="preserve">Coordinator Insights — e.g. highest call completion this week, best follow-up completion.</w:t>
      </w:r>
    </w:p>
    <w:p>
      <w:pPr>
        <w:pStyle w:val="ListParagraph"/>
        <w:numPr>
          <w:ilvl w:val="0"/>
          <w:numId w:val="1"/>
        </w:numPr>
        <w:spacing w:after="60"/>
      </w:pPr>
      <w:r>
        <w:t xml:space="preserve">Company Insights — e.g. pending follow-up for 12 days, most responsive company.</w:t>
      </w:r>
    </w:p>
    <w:p>
      <w:pPr>
        <w:pStyle w:val="ListParagraph"/>
        <w:numPr>
          <w:ilvl w:val="0"/>
          <w:numId w:val="1"/>
        </w:numPr>
        <w:spacing w:after="60"/>
      </w:pPr>
      <w:r>
        <w:t xml:space="preserve">College Insights — e.g. most active college, highest number of interviews or offers.</w:t>
      </w:r>
    </w:p>
    <w:p>
      <w:pPr>
        <w:pStyle w:val="ListParagraph"/>
        <w:numPr>
          <w:ilvl w:val="0"/>
          <w:numId w:val="1"/>
        </w:numPr>
        <w:spacing w:after="60"/>
      </w:pPr>
      <w:r>
        <w:t xml:space="preserve">Trend Insights — e.g. call volume increased 18%, positive responses improved 10%.</w:t>
      </w:r>
    </w:p>
    <w:p>
      <w:pPr>
        <w:spacing w:after="160"/>
      </w:pPr>
      <w:r>
        <w:t xml:space="preserve">This lets a user understand the data at a glance, without interpreting every chart individually.</w:t>
      </w:r>
    </w:p>
    <w:p>
      <w:pPr>
        <w:pStyle w:val="Heading1"/>
      </w:pPr>
      <w:r>
        <w:t xml:space="preserve">8. Section 2 — Reports (Report Library)</w:t>
      </w:r>
    </w:p>
    <w:p>
      <w:pPr>
        <w:pStyle w:val="Heading2"/>
      </w:pPr>
      <w:r>
        <w:t xml:space="preserve">8.1 Purpose</w:t>
      </w:r>
    </w:p>
    <w:p>
      <w:pPr>
        <w:spacing w:after="160"/>
      </w:pPr>
      <w:r>
        <w:t xml:space="preserve">A dedicated place to view and generate the finalized report templates — a report library, not a design surface.</w:t>
      </w:r>
    </w:p>
    <w:p>
      <w:pPr>
        <w:pStyle w:val="Heading2"/>
      </w:pPr>
      <w:r>
        <w:t xml:space="preserve">8.2 Rejected Report Categories</w:t>
      </w:r>
    </w:p>
    <w:p>
      <w:pPr>
        <w:spacing w:after="160"/>
      </w:pPr>
      <w:r>
        <w:t xml:space="preserve">Several additional report types were discussed and deliberately excluded from Version 1.0, to avoid duplicating information already available elsewhere:</w:t>
      </w:r>
    </w:p>
    <w:p>
      <w:pPr>
        <w:pStyle w:val="ListParagraph"/>
        <w:numPr>
          <w:ilvl w:val="0"/>
          <w:numId w:val="1"/>
        </w:numPr>
        <w:spacing w:after="60"/>
      </w:pPr>
      <w:r>
        <w:t xml:space="preserve">Daily Report — rejected; already covered by the Dashboard’s daily monitoring view.</w:t>
      </w:r>
    </w:p>
    <w:p>
      <w:pPr>
        <w:pStyle w:val="ListParagraph"/>
        <w:numPr>
          <w:ilvl w:val="0"/>
          <w:numId w:val="1"/>
        </w:numPr>
        <w:spacing w:after="60"/>
      </w:pPr>
      <w:r>
        <w:t xml:space="preserve">Company Report — rejected; company-level information already appears in the Weekly, Monthly, and Coordinator reports, and in Company Analytics (Section 7.4).</w:t>
      </w:r>
    </w:p>
    <w:p>
      <w:pPr>
        <w:pStyle w:val="ListParagraph"/>
        <w:numPr>
          <w:ilvl w:val="0"/>
          <w:numId w:val="1"/>
        </w:numPr>
        <w:spacing w:after="60"/>
      </w:pPr>
      <w:r>
        <w:t xml:space="preserve">Placement Pipeline Report — rejected; already covered by the Weekly Tracker.</w:t>
      </w:r>
    </w:p>
    <w:p>
      <w:pPr>
        <w:pStyle w:val="ListParagraph"/>
        <w:numPr>
          <w:ilvl w:val="0"/>
          <w:numId w:val="1"/>
        </w:numPr>
        <w:spacing w:after="60"/>
      </w:pPr>
      <w:r>
        <w:t xml:space="preserve">Lead Conversion Report — rejected; better shown as KPI cards in the Admin Dashboard and in Analytics.</w:t>
      </w:r>
    </w:p>
    <w:p>
      <w:pPr>
        <w:pStyle w:val="ListParagraph"/>
        <w:numPr>
          <w:ilvl w:val="0"/>
          <w:numId w:val="1"/>
        </w:numPr>
        <w:spacing w:after="60"/>
      </w:pPr>
      <w:r>
        <w:t xml:space="preserve">Custom Reports — deferred; can be introduced later if a genuine need arises.</w:t>
      </w:r>
    </w:p>
    <w:p>
      <w:pPr>
        <w:pStyle w:val="Heading2"/>
      </w:pPr>
      <w:r>
        <w:t xml:space="preserve">8.3 Final Design — Four Report Templates</w:t>
      </w:r>
    </w:p>
    <w:p>
      <w:pPr>
        <w:spacing w:after="160"/>
      </w:pPr>
      <w:r>
        <w:t xml:space="preserve">Instead of eight to ten overlapping reports, Module 06 ships with exactly four, each built to be more useful on its own:</w:t>
      </w:r>
    </w:p>
    <w:tbl>
      <w:tblPr>
        <w:tblW w:type="dxa" w:w="9746"/>
        <w:tblBorders>
          <w:top w:val="single" w:color="999999" w:sz="4"/>
          <w:left w:val="single" w:color="999999" w:sz="4"/>
          <w:bottom w:val="single" w:color="999999" w:sz="4"/>
          <w:right w:val="single" w:color="999999" w:sz="4"/>
          <w:insideH w:val="single" w:color="999999" w:sz="4"/>
          <w:insideV w:val="single" w:color="999999" w:sz="4"/>
        </w:tblBorders>
      </w:tblPr>
      <w:tblGrid>
        <w:gridCol w:w="100"/>
        <w:gridCol w:w="100"/>
        <w:gridCol w:w="100"/>
      </w:tblGrid>
      <w:tr>
        <w:trPr>
          <w:tblHeader/>
        </w:trPr>
        <w:tc>
          <w:tcPr>
            <w:tcW w:type="dxa" w:w="2400"/>
            <w:shd w:fill="1F3864" w:color="auto" w:val="clear"/>
            <w:tcMar>
              <w:top w:type="dxa" w:w="80"/>
              <w:left w:type="dxa" w:w="100"/>
              <w:bottom w:type="dxa" w:w="80"/>
              <w:right w:type="dxa" w:w="100"/>
            </w:tcMar>
            <w:vAlign w:val="center"/>
          </w:tcPr>
          <w:p>
            <w:r>
              <w:rPr>
                <w:b/>
                <w:bCs/>
                <w:color w:val="FFFFFF"/>
              </w:rPr>
              <w:t xml:space="preserve">Report Type</w:t>
            </w:r>
          </w:p>
        </w:tc>
        <w:tc>
          <w:tcPr>
            <w:tcW w:type="dxa" w:w="2200"/>
            <w:shd w:fill="1F3864" w:color="auto" w:val="clear"/>
            <w:tcMar>
              <w:top w:type="dxa" w:w="80"/>
              <w:left w:type="dxa" w:w="100"/>
              <w:bottom w:type="dxa" w:w="80"/>
              <w:right w:type="dxa" w:w="100"/>
            </w:tcMar>
            <w:vAlign w:val="center"/>
          </w:tcPr>
          <w:p>
            <w:r>
              <w:rPr>
                <w:b/>
                <w:bCs/>
                <w:color w:val="FFFFFF"/>
              </w:rPr>
              <w:t xml:space="preserve">Audience</w:t>
            </w:r>
          </w:p>
        </w:tc>
        <w:tc>
          <w:tcPr>
            <w:tcW w:type="dxa" w:w="5146"/>
            <w:shd w:fill="1F3864" w:color="auto" w:val="clear"/>
            <w:tcMar>
              <w:top w:type="dxa" w:w="80"/>
              <w:left w:type="dxa" w:w="100"/>
              <w:bottom w:type="dxa" w:w="80"/>
              <w:right w:type="dxa" w:w="100"/>
            </w:tcMar>
            <w:vAlign w:val="center"/>
          </w:tcPr>
          <w:p>
            <w:r>
              <w:rPr>
                <w:b/>
                <w:bCs/>
                <w:color w:val="FFFFFF"/>
              </w:rPr>
              <w:t xml:space="preserve">Key Contents</w:t>
            </w:r>
          </w:p>
        </w:tc>
      </w:tr>
      <w:tr>
        <w:tc>
          <w:tcPr>
            <w:tcW w:type="dxa" w:w="2400"/>
            <w:tcMar>
              <w:top w:type="dxa" w:w="80"/>
              <w:left w:type="dxa" w:w="100"/>
              <w:bottom w:type="dxa" w:w="80"/>
              <w:right w:type="dxa" w:w="100"/>
            </w:tcMar>
            <w:vAlign w:val="center"/>
          </w:tcPr>
          <w:p>
            <w:r>
              <w:rPr>
                <w:b w:val="false"/>
                <w:bCs w:val="false"/>
              </w:rPr>
              <w:t xml:space="preserve">1. Weekly Placement Report</w:t>
            </w:r>
          </w:p>
        </w:tc>
        <w:tc>
          <w:tcPr>
            <w:tcW w:type="dxa" w:w="2200"/>
            <w:tcMar>
              <w:top w:type="dxa" w:w="80"/>
              <w:left w:type="dxa" w:w="100"/>
              <w:bottom w:type="dxa" w:w="80"/>
              <w:right w:type="dxa" w:w="100"/>
            </w:tcMar>
            <w:vAlign w:val="center"/>
          </w:tcPr>
          <w:p>
            <w:r>
              <w:rPr>
                <w:b w:val="false"/>
                <w:bCs w:val="false"/>
              </w:rPr>
              <w:t xml:space="preserve">College Management, Internal Team</w:t>
            </w:r>
          </w:p>
        </w:tc>
        <w:tc>
          <w:tcPr>
            <w:tcW w:type="dxa" w:w="5146"/>
            <w:tcMar>
              <w:top w:type="dxa" w:w="80"/>
              <w:left w:type="dxa" w:w="100"/>
              <w:bottom w:type="dxa" w:w="80"/>
              <w:right w:type="dxa" w:w="100"/>
            </w:tcMar>
            <w:vAlign w:val="center"/>
          </w:tcPr>
          <w:p>
            <w:r>
              <w:rPr>
                <w:b w:val="false"/>
                <w:bCs w:val="false"/>
              </w:rPr>
              <w:t xml:space="preserve">Completed Companies, In Progress, Pipeline, Follow-up Summary, Insights, Logos, Generated By/Date</w:t>
            </w:r>
          </w:p>
        </w:tc>
      </w:tr>
      <w:tr>
        <w:tc>
          <w:tcPr>
            <w:tcW w:type="dxa" w:w="2400"/>
            <w:shd w:fill="F2F2F2" w:color="auto" w:val="clear"/>
            <w:tcMar>
              <w:top w:type="dxa" w:w="80"/>
              <w:left w:type="dxa" w:w="100"/>
              <w:bottom w:type="dxa" w:w="80"/>
              <w:right w:type="dxa" w:w="100"/>
            </w:tcMar>
            <w:vAlign w:val="center"/>
          </w:tcPr>
          <w:p>
            <w:r>
              <w:rPr>
                <w:b w:val="false"/>
                <w:bCs w:val="false"/>
              </w:rPr>
              <w:t xml:space="preserve">2. Monthly Placement Report</w:t>
            </w:r>
          </w:p>
        </w:tc>
        <w:tc>
          <w:tcPr>
            <w:tcW w:type="dxa" w:w="2200"/>
            <w:shd w:fill="F2F2F2" w:color="auto" w:val="clear"/>
            <w:tcMar>
              <w:top w:type="dxa" w:w="80"/>
              <w:left w:type="dxa" w:w="100"/>
              <w:bottom w:type="dxa" w:w="80"/>
              <w:right w:type="dxa" w:w="100"/>
            </w:tcMar>
            <w:vAlign w:val="center"/>
          </w:tcPr>
          <w:p>
            <w:r>
              <w:rPr>
                <w:b w:val="false"/>
                <w:bCs w:val="false"/>
              </w:rPr>
              <w:t xml:space="preserve">Management Review</w:t>
            </w:r>
          </w:p>
        </w:tc>
        <w:tc>
          <w:tcPr>
            <w:tcW w:type="dxa" w:w="5146"/>
            <w:shd w:fill="F2F2F2" w:color="auto" w:val="clear"/>
            <w:tcMar>
              <w:top w:type="dxa" w:w="80"/>
              <w:left w:type="dxa" w:w="100"/>
              <w:bottom w:type="dxa" w:w="80"/>
              <w:right w:type="dxa" w:w="100"/>
            </w:tcMar>
            <w:vAlign w:val="center"/>
          </w:tcPr>
          <w:p>
            <w:r>
              <w:rPr>
                <w:b w:val="false"/>
                <w:bCs w:val="false"/>
              </w:rPr>
              <w:t xml:space="preserve">Monthly KPIs, Company/College/Coordinator Summary, Comparison vs previous month, Charts, Insights</w:t>
            </w:r>
          </w:p>
        </w:tc>
      </w:tr>
      <w:tr>
        <w:tc>
          <w:tcPr>
            <w:tcW w:type="dxa" w:w="2400"/>
            <w:tcMar>
              <w:top w:type="dxa" w:w="80"/>
              <w:left w:type="dxa" w:w="100"/>
              <w:bottom w:type="dxa" w:w="80"/>
              <w:right w:type="dxa" w:w="100"/>
            </w:tcMar>
            <w:vAlign w:val="center"/>
          </w:tcPr>
          <w:p>
            <w:r>
              <w:rPr>
                <w:b w:val="false"/>
                <w:bCs w:val="false"/>
              </w:rPr>
              <w:t xml:space="preserve">3. College Performance Report</w:t>
            </w:r>
          </w:p>
        </w:tc>
        <w:tc>
          <w:tcPr>
            <w:tcW w:type="dxa" w:w="2200"/>
            <w:tcMar>
              <w:top w:type="dxa" w:w="80"/>
              <w:left w:type="dxa" w:w="100"/>
              <w:bottom w:type="dxa" w:w="80"/>
              <w:right w:type="dxa" w:w="100"/>
            </w:tcMar>
            <w:vAlign w:val="center"/>
          </w:tcPr>
          <w:p>
            <w:r>
              <w:rPr>
                <w:b w:val="false"/>
                <w:bCs w:val="false"/>
              </w:rPr>
              <w:t xml:space="preserve">One specific college</w:t>
            </w:r>
          </w:p>
        </w:tc>
        <w:tc>
          <w:tcPr>
            <w:tcW w:type="dxa" w:w="5146"/>
            <w:tcMar>
              <w:top w:type="dxa" w:w="80"/>
              <w:left w:type="dxa" w:w="100"/>
              <w:bottom w:type="dxa" w:w="80"/>
              <w:right w:type="dxa" w:w="100"/>
            </w:tcMar>
            <w:vAlign w:val="center"/>
          </w:tcPr>
          <w:p>
            <w:r>
              <w:rPr>
                <w:b w:val="false"/>
                <w:bCs w:val="false"/>
              </w:rPr>
              <w:t xml:space="preserve">Companies Contacted, Positive Responses, Drives Conducted, Offers Received, Highest/Average Package, Assigned Coordinator, Insights</w:t>
            </w:r>
          </w:p>
        </w:tc>
      </w:tr>
      <w:tr>
        <w:tc>
          <w:tcPr>
            <w:tcW w:type="dxa" w:w="2400"/>
            <w:shd w:fill="F2F2F2" w:color="auto" w:val="clear"/>
            <w:tcMar>
              <w:top w:type="dxa" w:w="80"/>
              <w:left w:type="dxa" w:w="100"/>
              <w:bottom w:type="dxa" w:w="80"/>
              <w:right w:type="dxa" w:w="100"/>
            </w:tcMar>
            <w:vAlign w:val="center"/>
          </w:tcPr>
          <w:p>
            <w:r>
              <w:rPr>
                <w:b w:val="false"/>
                <w:bCs w:val="false"/>
              </w:rPr>
              <w:t xml:space="preserve">4. Coordinator Performance Report</w:t>
            </w:r>
          </w:p>
        </w:tc>
        <w:tc>
          <w:tcPr>
            <w:tcW w:type="dxa" w:w="2200"/>
            <w:shd w:fill="F2F2F2" w:color="auto" w:val="clear"/>
            <w:tcMar>
              <w:top w:type="dxa" w:w="80"/>
              <w:left w:type="dxa" w:w="100"/>
              <w:bottom w:type="dxa" w:w="80"/>
              <w:right w:type="dxa" w:w="100"/>
            </w:tcMar>
            <w:vAlign w:val="center"/>
          </w:tcPr>
          <w:p>
            <w:r>
              <w:rPr>
                <w:b w:val="false"/>
                <w:bCs w:val="false"/>
              </w:rPr>
              <w:t xml:space="preserve">Internal management</w:t>
            </w:r>
          </w:p>
        </w:tc>
        <w:tc>
          <w:tcPr>
            <w:tcW w:type="dxa" w:w="5146"/>
            <w:shd w:fill="F2F2F2" w:color="auto" w:val="clear"/>
            <w:tcMar>
              <w:top w:type="dxa" w:w="80"/>
              <w:left w:type="dxa" w:w="100"/>
              <w:bottom w:type="dxa" w:w="80"/>
              <w:right w:type="dxa" w:w="100"/>
            </w:tcMar>
            <w:vAlign w:val="center"/>
          </w:tcPr>
          <w:p>
            <w:r>
              <w:rPr>
                <w:b w:val="false"/>
                <w:bCs w:val="false"/>
              </w:rPr>
              <w:t xml:space="preserve">Colleges Handled, Companies Contacted, Calls Completed, Positive Responses, JD Received, Drives Conducted, Performance Summary (no ranking in v1.0)</w:t>
            </w:r>
          </w:p>
        </w:tc>
      </w:tr>
    </w:tbl>
    <w:p>
      <w:r>
        <w:t xml:space="preserve"/>
      </w:r>
    </w:p>
    <w:p>
      <w:pPr>
        <w:pStyle w:val="Heading1"/>
      </w:pPr>
      <w:r>
        <w:t xml:space="preserve">9. Section 3 — Report Builder</w:t>
      </w:r>
    </w:p>
    <w:p>
      <w:pPr>
        <w:pStyle w:val="Heading2"/>
      </w:pPr>
      <w:r>
        <w:t xml:space="preserve">9.1 Purpose</w:t>
      </w:r>
    </w:p>
    <w:p>
      <w:pPr>
        <w:spacing w:after="160"/>
      </w:pPr>
      <w:r>
        <w:t xml:space="preserve">The core feature of Module 06: it generates a professional report from live data through one guided wizard — no Canva, no manual copy-paste.</w:t>
      </w:r>
    </w:p>
    <w:p>
      <w:pPr>
        <w:pStyle w:val="Heading2"/>
      </w:pPr>
      <w:r>
        <w:t xml:space="preserve">9.2 Workflow Overview</w:t>
      </w:r>
    </w:p>
    <w:p>
      <w:pPr>
        <w:spacing w:after="160"/>
      </w:pPr>
      <w:r>
        <w:t xml:space="preserve">A user builds a report in this sequence:</w:t>
      </w:r>
    </w:p>
    <w:p>
      <w:pPr>
        <w:pStyle w:val="ListParagraph"/>
        <w:numPr>
          <w:ilvl w:val="0"/>
          <w:numId w:val="1"/>
        </w:numPr>
        <w:spacing w:after="60"/>
      </w:pPr>
      <w:r>
        <w:t xml:space="preserve">Select Report Type.</w:t>
      </w:r>
    </w:p>
    <w:p>
      <w:pPr>
        <w:pStyle w:val="ListParagraph"/>
        <w:numPr>
          <w:ilvl w:val="0"/>
          <w:numId w:val="1"/>
        </w:numPr>
        <w:spacing w:after="60"/>
      </w:pPr>
      <w:r>
        <w:t xml:space="preserve">Choose Filters.</w:t>
      </w:r>
    </w:p>
    <w:p>
      <w:pPr>
        <w:pStyle w:val="ListParagraph"/>
        <w:numPr>
          <w:ilvl w:val="0"/>
          <w:numId w:val="1"/>
        </w:numPr>
        <w:spacing w:after="60"/>
      </w:pPr>
      <w:r>
        <w:t xml:space="preserve">Branding loads automatically.</w:t>
      </w:r>
    </w:p>
    <w:p>
      <w:pPr>
        <w:pStyle w:val="ListParagraph"/>
        <w:numPr>
          <w:ilvl w:val="0"/>
          <w:numId w:val="1"/>
        </w:numPr>
        <w:spacing w:after="60"/>
      </w:pPr>
      <w:r>
        <w:t xml:space="preserve">Choose which sections to include.</w:t>
      </w:r>
    </w:p>
    <w:p>
      <w:pPr>
        <w:pStyle w:val="ListParagraph"/>
        <w:numPr>
          <w:ilvl w:val="0"/>
          <w:numId w:val="1"/>
        </w:numPr>
        <w:spacing w:after="60"/>
      </w:pPr>
      <w:r>
        <w:t xml:space="preserve">Generate a live preview.</w:t>
      </w:r>
    </w:p>
    <w:p>
      <w:pPr>
        <w:pStyle w:val="ListParagraph"/>
        <w:numPr>
          <w:ilvl w:val="0"/>
          <w:numId w:val="1"/>
        </w:numPr>
        <w:spacing w:after="60"/>
      </w:pPr>
      <w:r>
        <w:t xml:space="preserve">Refine it in the Report Editor.</w:t>
      </w:r>
    </w:p>
    <w:p>
      <w:pPr>
        <w:pStyle w:val="ListParagraph"/>
        <w:numPr>
          <w:ilvl w:val="0"/>
          <w:numId w:val="1"/>
        </w:numPr>
        <w:spacing w:after="60"/>
      </w:pPr>
      <w:r>
        <w:t xml:space="preserve">Export and, optionally, share.</w:t>
      </w:r>
    </w:p>
    <w:p>
      <w:pPr>
        <w:pStyle w:val="Heading2"/>
      </w:pPr>
      <w:r>
        <w:t xml:space="preserve">9.3 Step 1 — Select Report Type</w:t>
      </w:r>
    </w:p>
    <w:p>
      <w:pPr>
        <w:spacing w:after="160"/>
      </w:pPr>
      <w:r>
        <w:t xml:space="preserve">Weekly, Monthly, College, or Coordinator — the four templates defined in Section 8.3.</w:t>
      </w:r>
    </w:p>
    <w:p>
      <w:pPr>
        <w:pStyle w:val="Heading2"/>
      </w:pPr>
      <w:r>
        <w:t xml:space="preserve">9.4 Step 2 — Choose Filters</w:t>
      </w:r>
    </w:p>
    <w:p>
      <w:pPr>
        <w:spacing w:after="160"/>
      </w:pPr>
      <w:r>
        <w:t xml:space="preserve">Depending on the report type: College, Coordinator, Week, Month, Year.</w:t>
      </w:r>
    </w:p>
    <w:p>
      <w:pPr>
        <w:pStyle w:val="Heading2"/>
      </w:pPr>
      <w:r>
        <w:t xml:space="preserve">9.5 Step 3 — Branding</w:t>
      </w:r>
    </w:p>
    <w:p>
      <w:pPr>
        <w:spacing w:after="160"/>
      </w:pPr>
      <w:r>
        <w:t xml:space="preserve">The Infoziant logo and the relevant college logo load automatically — each college profile stores its logo once, so nothing is uploaded manually every week.</w:t>
      </w:r>
    </w:p>
    <w:p>
      <w:pPr>
        <w:pStyle w:val="Heading2"/>
      </w:pPr>
      <w:r>
        <w:t xml:space="preserve">9.6 Step 4 — Choose Sections</w:t>
      </w:r>
    </w:p>
    <w:p>
      <w:pPr>
        <w:spacing w:after="160"/>
      </w:pPr>
      <w:r>
        <w:t xml:space="preserve">Users include or exclude sections depending on the audience, for example:</w:t>
      </w:r>
    </w:p>
    <w:p>
      <w:pPr>
        <w:pStyle w:val="ListParagraph"/>
        <w:numPr>
          <w:ilvl w:val="0"/>
          <w:numId w:val="1"/>
        </w:numPr>
        <w:spacing w:after="60"/>
      </w:pPr>
      <w:r>
        <w:t xml:space="preserve">KPI Summary</w:t>
      </w:r>
    </w:p>
    <w:p>
      <w:pPr>
        <w:pStyle w:val="ListParagraph"/>
        <w:numPr>
          <w:ilvl w:val="0"/>
          <w:numId w:val="1"/>
        </w:numPr>
        <w:spacing w:after="60"/>
      </w:pPr>
      <w:r>
        <w:t xml:space="preserve">Completed Companies</w:t>
      </w:r>
    </w:p>
    <w:p>
      <w:pPr>
        <w:pStyle w:val="ListParagraph"/>
        <w:numPr>
          <w:ilvl w:val="0"/>
          <w:numId w:val="1"/>
        </w:numPr>
        <w:spacing w:after="60"/>
      </w:pPr>
      <w:r>
        <w:t xml:space="preserve">In Progress</w:t>
      </w:r>
    </w:p>
    <w:p>
      <w:pPr>
        <w:pStyle w:val="ListParagraph"/>
        <w:numPr>
          <w:ilvl w:val="0"/>
          <w:numId w:val="1"/>
        </w:numPr>
        <w:spacing w:after="60"/>
      </w:pPr>
      <w:r>
        <w:t xml:space="preserve">Pipeline</w:t>
      </w:r>
    </w:p>
    <w:p>
      <w:pPr>
        <w:pStyle w:val="ListParagraph"/>
        <w:numPr>
          <w:ilvl w:val="0"/>
          <w:numId w:val="1"/>
        </w:numPr>
        <w:spacing w:after="60"/>
      </w:pPr>
      <w:r>
        <w:t xml:space="preserve">Charts</w:t>
      </w:r>
    </w:p>
    <w:p>
      <w:pPr>
        <w:pStyle w:val="ListParagraph"/>
        <w:numPr>
          <w:ilvl w:val="0"/>
          <w:numId w:val="1"/>
        </w:numPr>
        <w:spacing w:after="60"/>
      </w:pPr>
      <w:r>
        <w:t xml:space="preserve">Insights</w:t>
      </w:r>
    </w:p>
    <w:p>
      <w:pPr>
        <w:pStyle w:val="ListParagraph"/>
        <w:numPr>
          <w:ilvl w:val="0"/>
          <w:numId w:val="1"/>
        </w:numPr>
        <w:spacing w:after="60"/>
      </w:pPr>
      <w:r>
        <w:t xml:space="preserve">Remarks</w:t>
      </w:r>
    </w:p>
    <w:p>
      <w:pPr>
        <w:pStyle w:val="Heading2"/>
      </w:pPr>
      <w:r>
        <w:t xml:space="preserve">9.7 Step 5 — Generate Preview</w:t>
      </w:r>
    </w:p>
    <w:p>
      <w:pPr>
        <w:spacing w:after="160"/>
      </w:pPr>
      <w:r>
        <w:t xml:space="preserve">The system composes the report automatically, reading live data directly from the Weekly Tracker, Daily Tracker, and Daily Leads — for example, Completed Companies in the Weekly Tracker becomes “Companies Completed” in the report, without the coordinator typing anything again.</w:t>
      </w:r>
    </w:p>
    <w:p>
      <w:pPr>
        <w:pStyle w:val="Heading2"/>
      </w:pPr>
      <w:r>
        <w:t xml:space="preserve">9.8 Step 6 — Report Editor</w:t>
      </w:r>
    </w:p>
    <w:p>
      <w:pPr>
        <w:spacing w:after="160"/>
      </w:pPr>
      <w:r>
        <w:t xml:space="preserve">Detailed in Section 10.</w:t>
      </w:r>
    </w:p>
    <w:p>
      <w:pPr>
        <w:pStyle w:val="Heading2"/>
      </w:pPr>
      <w:r>
        <w:t xml:space="preserve">9.9 Step 7 — Export</w:t>
      </w:r>
    </w:p>
    <w:p>
      <w:pPr>
        <w:spacing w:after="160"/>
      </w:pPr>
      <w:r>
        <w:t xml:space="preserve">Detailed in Section 13.</w:t>
      </w:r>
    </w:p>
    <w:p>
      <w:pPr>
        <w:pStyle w:val="Heading1"/>
      </w:pPr>
      <w:r>
        <w:t xml:space="preserve">10. Report Editor — Design &amp; Capabilities</w:t>
      </w:r>
    </w:p>
    <w:p>
      <w:pPr>
        <w:spacing w:after="160"/>
      </w:pPr>
      <w:r>
        <w:t xml:space="preserve">This was the most-debated design decision for Module 06, and went through three options before a final direction was chosen.</w:t>
      </w:r>
    </w:p>
    <w:p>
      <w:pPr>
        <w:pStyle w:val="Heading2"/>
      </w:pPr>
      <w:r>
        <w:t xml:space="preserve">10.1 Rejected Approach — Simple Preview Only</w:t>
      </w:r>
    </w:p>
    <w:p>
      <w:pPr>
        <w:spacing w:after="160"/>
      </w:pPr>
      <w:r>
        <w:t xml:space="preserve">The first option considered: generate the report, then allow only a title change, remarks, section show/hide, and a logo change, before export. This was rejected — the underlying weekly reports change too frequently for such a rigid editor to stay useful.</w:t>
      </w:r>
    </w:p>
    <w:p>
      <w:pPr>
        <w:pStyle w:val="Heading2"/>
      </w:pPr>
      <w:r>
        <w:t xml:space="preserve">10.2 Rejected Approach — Canva as the Primary Editor</w:t>
      </w:r>
    </w:p>
    <w:p>
      <w:pPr>
        <w:spacing w:after="160"/>
      </w:pPr>
      <w:r>
        <w:t xml:space="preserve">Embedding Canva as the core editing surface was also considered. This was rejected: Canva’s developer tools are not designed to embed its full editor inside another application, and relying on it as the primary editor would make iPOMS dependent on an external platform for a core workflow.</w:t>
      </w:r>
    </w:p>
    <w:p>
      <w:pPr>
        <w:pStyle w:val="Heading2"/>
      </w:pPr>
      <w:r>
        <w:t xml:space="preserve">10.3 Final Design — Native Report Editor</w:t>
      </w:r>
    </w:p>
    <w:p>
      <w:pPr>
        <w:spacing w:after="160"/>
      </w:pPr>
      <w:r>
        <w:t xml:space="preserve">iPOMS will ship its own lightweight, document-editor-style surface — comparable in spirit to Google Docs, Notion, or Airtable — where every section of a generated report becomes directly editable:</w:t>
      </w:r>
    </w:p>
    <w:p>
      <w:pPr>
        <w:pStyle w:val="ListParagraph"/>
        <w:numPr>
          <w:ilvl w:val="0"/>
          <w:numId w:val="1"/>
        </w:numPr>
        <w:spacing w:after="60"/>
      </w:pPr>
      <w:r>
        <w:t xml:space="preserve">Editable table cells — click a cell, type, press Enter.</w:t>
      </w:r>
    </w:p>
    <w:p>
      <w:pPr>
        <w:pStyle w:val="ListParagraph"/>
        <w:numPr>
          <w:ilvl w:val="0"/>
          <w:numId w:val="1"/>
        </w:numPr>
        <w:spacing w:after="60"/>
      </w:pPr>
      <w:r>
        <w:t xml:space="preserve">Rename column headers in place.</w:t>
      </w:r>
    </w:p>
    <w:p>
      <w:pPr>
        <w:pStyle w:val="ListParagraph"/>
        <w:numPr>
          <w:ilvl w:val="0"/>
          <w:numId w:val="1"/>
        </w:numPr>
        <w:spacing w:after="60"/>
      </w:pPr>
      <w:r>
        <w:t xml:space="preserve">Insert or delete columns.</w:t>
      </w:r>
    </w:p>
    <w:p>
      <w:pPr>
        <w:pStyle w:val="ListParagraph"/>
        <w:numPr>
          <w:ilvl w:val="0"/>
          <w:numId w:val="1"/>
        </w:numPr>
        <w:spacing w:after="60"/>
      </w:pPr>
      <w:r>
        <w:t xml:space="preserve">Add, edit, or remove remarks.</w:t>
      </w:r>
    </w:p>
    <w:p>
      <w:pPr>
        <w:pStyle w:val="ListParagraph"/>
        <w:numPr>
          <w:ilvl w:val="0"/>
          <w:numId w:val="1"/>
        </w:numPr>
        <w:spacing w:after="60"/>
      </w:pPr>
      <w:r>
        <w:t xml:space="preserve">Drag sections into a different order (e.g. move Pipeline before Completed).</w:t>
      </w:r>
    </w:p>
    <w:p>
      <w:pPr>
        <w:pStyle w:val="ListParagraph"/>
        <w:numPr>
          <w:ilvl w:val="0"/>
          <w:numId w:val="1"/>
        </w:numPr>
        <w:spacing w:after="60"/>
      </w:pPr>
      <w:r>
        <w:t xml:space="preserve">Change the report theme — Blue, Green, Purple, Company Theme, or College Theme.</w:t>
      </w:r>
    </w:p>
    <w:p>
      <w:pPr>
        <w:pStyle w:val="Heading2"/>
      </w:pPr>
      <w:r>
        <w:t xml:space="preserve">10.4 Live Page Indicator</w:t>
      </w:r>
    </w:p>
    <w:p>
      <w:pPr>
        <w:spacing w:after="160"/>
      </w:pPr>
      <w:r>
        <w:t xml:space="preserve">The editor displays the report as real, numbered pages (Page 1, Page 2, …) rather than one continuous scroll. As the user edits, pages reflow automatically, so the exported PDF always matches exactly what is on screen — no surprise page breaks.</w:t>
      </w:r>
    </w:p>
    <w:p>
      <w:pPr>
        <w:pStyle w:val="Heading2"/>
      </w:pPr>
      <w:r>
        <w:t xml:space="preserve">10.5 Deferred — Canva Hand-off</w:t>
      </w:r>
    </w:p>
    <w:p>
      <w:pPr>
        <w:spacing w:after="160"/>
      </w:pPr>
      <w:r>
        <w:t xml:space="preserve">Not part of Version 1.0: an optional “Open in Canva” hand-off after export, to be evaluated once Canva’s available integration options are reviewed further.</w:t>
      </w:r>
    </w:p>
    <w:p>
      <w:pPr>
        <w:pStyle w:val="Heading1"/>
      </w:pPr>
      <w:r>
        <w:t xml:space="preserve">11. Branding Rules</w:t>
      </w:r>
    </w:p>
    <w:p>
      <w:pPr>
        <w:spacing w:after="160"/>
      </w:pPr>
      <w:r>
        <w:t xml:space="preserve">Every generated report automatically includes:</w:t>
      </w:r>
    </w:p>
    <w:p>
      <w:pPr>
        <w:pStyle w:val="ListParagraph"/>
        <w:numPr>
          <w:ilvl w:val="0"/>
          <w:numId w:val="1"/>
        </w:numPr>
        <w:spacing w:after="60"/>
      </w:pPr>
      <w:r>
        <w:t xml:space="preserve">Infoziant Logo</w:t>
      </w:r>
    </w:p>
    <w:p>
      <w:pPr>
        <w:pStyle w:val="ListParagraph"/>
        <w:numPr>
          <w:ilvl w:val="0"/>
          <w:numId w:val="1"/>
        </w:numPr>
        <w:spacing w:after="60"/>
      </w:pPr>
      <w:r>
        <w:t xml:space="preserve">College Logo (loaded from the college’s saved profile)</w:t>
      </w:r>
    </w:p>
    <w:p>
      <w:pPr>
        <w:pStyle w:val="ListParagraph"/>
        <w:numPr>
          <w:ilvl w:val="0"/>
          <w:numId w:val="1"/>
        </w:numPr>
        <w:spacing w:after="60"/>
      </w:pPr>
      <w:r>
        <w:t xml:space="preserve">Report Title</w:t>
      </w:r>
    </w:p>
    <w:p>
      <w:pPr>
        <w:pStyle w:val="ListParagraph"/>
        <w:numPr>
          <w:ilvl w:val="0"/>
          <w:numId w:val="1"/>
        </w:numPr>
        <w:spacing w:after="60"/>
      </w:pPr>
      <w:r>
        <w:t xml:space="preserve">Report Period</w:t>
      </w:r>
    </w:p>
    <w:p>
      <w:pPr>
        <w:pStyle w:val="ListParagraph"/>
        <w:numPr>
          <w:ilvl w:val="0"/>
          <w:numId w:val="1"/>
        </w:numPr>
        <w:spacing w:after="60"/>
      </w:pPr>
      <w:r>
        <w:t xml:space="preserve">Generated By</w:t>
      </w:r>
    </w:p>
    <w:p>
      <w:pPr>
        <w:pStyle w:val="ListParagraph"/>
        <w:numPr>
          <w:ilvl w:val="0"/>
          <w:numId w:val="1"/>
        </w:numPr>
        <w:spacing w:after="60"/>
      </w:pPr>
      <w:r>
        <w:t xml:space="preserve">Generated Date</w:t>
      </w:r>
    </w:p>
    <w:p>
      <w:pPr>
        <w:pStyle w:val="ListParagraph"/>
        <w:numPr>
          <w:ilvl w:val="0"/>
          <w:numId w:val="1"/>
        </w:numPr>
        <w:spacing w:after="60"/>
      </w:pPr>
      <w:r>
        <w:t xml:space="preserve">Confidential Footer</w:t>
      </w:r>
    </w:p>
    <w:p>
      <w:pPr>
        <w:pStyle w:val="ListParagraph"/>
        <w:numPr>
          <w:ilvl w:val="0"/>
          <w:numId w:val="1"/>
        </w:numPr>
        <w:spacing w:after="60"/>
      </w:pPr>
      <w:r>
        <w:t xml:space="preserve">Consistent colors and typography drawn from the selected theme</w:t>
      </w:r>
    </w:p>
    <w:p>
      <w:pPr>
        <w:spacing w:after="160"/>
      </w:pPr>
      <w:r>
        <w:t xml:space="preserve">Users are never required to manually add any branding element.</w:t>
      </w:r>
    </w:p>
    <w:p>
      <w:pPr>
        <w:pStyle w:val="Heading1"/>
      </w:pPr>
      <w:r>
        <w:t xml:space="preserve">12. Report Storage &amp; Save Rules</w:t>
      </w:r>
    </w:p>
    <w:p>
      <w:pPr>
        <w:pStyle w:val="ListParagraph"/>
        <w:numPr>
          <w:ilvl w:val="0"/>
          <w:numId w:val="1"/>
        </w:numPr>
        <w:spacing w:after="60"/>
      </w:pPr>
      <w:r>
        <w:t xml:space="preserve">The application does not permanently store generated reports.</w:t>
      </w:r>
    </w:p>
    <w:p>
      <w:pPr>
        <w:pStyle w:val="ListParagraph"/>
        <w:numPr>
          <w:ilvl w:val="0"/>
          <w:numId w:val="1"/>
        </w:numPr>
        <w:spacing w:after="60"/>
      </w:pPr>
      <w:r>
        <w:t xml:space="preserve">A report is built only when the user clicks Generate Report, from data current at that moment.</w:t>
      </w:r>
    </w:p>
    <w:p>
      <w:pPr>
        <w:pStyle w:val="ListParagraph"/>
        <w:numPr>
          <w:ilvl w:val="0"/>
          <w:numId w:val="1"/>
        </w:numPr>
        <w:spacing w:after="60"/>
      </w:pPr>
      <w:r>
        <w:t xml:space="preserve">After editing, the user exports and is prompted to choose a save location on their own computer.</w:t>
      </w:r>
    </w:p>
    <w:p>
      <w:pPr>
        <w:pStyle w:val="ListParagraph"/>
        <w:numPr>
          <w:ilvl w:val="0"/>
          <w:numId w:val="1"/>
        </w:numPr>
        <w:spacing w:after="60"/>
      </w:pPr>
      <w:r>
        <w:t xml:space="preserve">Nothing is written to cloud storage inside iPOMS; the user may upload the exported file to any cloud service afterward, entirely outside the application.</w:t>
      </w:r>
    </w:p>
    <w:p>
      <w:pPr>
        <w:pStyle w:val="ListParagraph"/>
        <w:numPr>
          <w:ilvl w:val="0"/>
          <w:numId w:val="1"/>
        </w:numPr>
        <w:spacing w:after="60"/>
      </w:pPr>
      <w:r>
        <w:t xml:space="preserve">This keeps iPOMS focused on operational data rather than document storage.</w:t>
      </w:r>
    </w:p>
    <w:p>
      <w:pPr>
        <w:pStyle w:val="Heading1"/>
      </w:pPr>
      <w:r>
        <w:t xml:space="preserve">13. Export &amp; Sharing Options</w:t>
      </w:r>
    </w:p>
    <w:p>
      <w:pPr>
        <w:spacing w:after="160"/>
      </w:pPr>
      <w:r>
        <w:t xml:space="preserve">Supported export formats:</w:t>
      </w:r>
    </w:p>
    <w:p>
      <w:pPr>
        <w:pStyle w:val="ListParagraph"/>
        <w:numPr>
          <w:ilvl w:val="0"/>
          <w:numId w:val="1"/>
        </w:numPr>
        <w:spacing w:after="60"/>
      </w:pPr>
      <w:r>
        <w:t xml:space="preserve">PDF</w:t>
      </w:r>
    </w:p>
    <w:p>
      <w:pPr>
        <w:pStyle w:val="ListParagraph"/>
        <w:numPr>
          <w:ilvl w:val="0"/>
          <w:numId w:val="1"/>
        </w:numPr>
        <w:spacing w:after="60"/>
      </w:pPr>
      <w:r>
        <w:t xml:space="preserve">Excel</w:t>
      </w:r>
    </w:p>
    <w:p>
      <w:pPr>
        <w:pStyle w:val="ListParagraph"/>
        <w:numPr>
          <w:ilvl w:val="0"/>
          <w:numId w:val="1"/>
        </w:numPr>
        <w:spacing w:after="60"/>
      </w:pPr>
      <w:r>
        <w:t xml:space="preserve">PNG (high resolution — suitable for WhatsApp, Teams, or email)</w:t>
      </w:r>
    </w:p>
    <w:p>
      <w:pPr>
        <w:spacing w:after="160"/>
      </w:pPr>
      <w:r>
        <w:t xml:space="preserve">Additional actions available at export time:</w:t>
      </w:r>
    </w:p>
    <w:p>
      <w:pPr>
        <w:pStyle w:val="ListParagraph"/>
        <w:numPr>
          <w:ilvl w:val="0"/>
          <w:numId w:val="1"/>
        </w:numPr>
        <w:spacing w:after="60"/>
      </w:pPr>
      <w:r>
        <w:t xml:space="preserve">Download to Local Computer — the user chooses the folder.</w:t>
      </w:r>
    </w:p>
    <w:p>
      <w:pPr>
        <w:pStyle w:val="ListParagraph"/>
        <w:numPr>
          <w:ilvl w:val="0"/>
          <w:numId w:val="1"/>
        </w:numPr>
        <w:spacing w:after="60"/>
      </w:pPr>
      <w:r>
        <w:t xml:space="preserve">Share — a future-ready placeholder for direct Teams/WhatsApp sharing.</w:t>
      </w:r>
    </w:p>
    <w:p>
      <w:pPr>
        <w:spacing w:after="160"/>
      </w:pPr>
      <w:r>
        <w:t xml:space="preserve">The sharing type is chosen by the coordinator or team leader — for example, an image for a quick chat share, or a download for a formal email attachment.</w:t>
      </w:r>
    </w:p>
    <w:p>
      <w:pPr>
        <w:pStyle w:val="Heading1"/>
      </w:pPr>
      <w:r>
        <w:t xml:space="preserve">14. Report Quality Checklist</w:t>
      </w:r>
    </w:p>
    <w:p>
      <w:pPr>
        <w:spacing w:after="160"/>
      </w:pPr>
      <w:r>
        <w:t xml:space="preserve">Before export, the Report Editor displays a short checklist confirming the report is complete and presentation-ready:</w:t>
      </w:r>
    </w:p>
    <w:p>
      <w:pPr>
        <w:pStyle w:val="ListParagraph"/>
        <w:numPr>
          <w:ilvl w:val="0"/>
          <w:numId w:val="1"/>
        </w:numPr>
        <w:spacing w:after="60"/>
      </w:pPr>
      <w:r>
        <w:t xml:space="preserve">College logo available</w:t>
      </w:r>
    </w:p>
    <w:p>
      <w:pPr>
        <w:pStyle w:val="ListParagraph"/>
        <w:numPr>
          <w:ilvl w:val="0"/>
          <w:numId w:val="1"/>
        </w:numPr>
        <w:spacing w:after="60"/>
      </w:pPr>
      <w:r>
        <w:t xml:space="preserve">Office logo available</w:t>
      </w:r>
    </w:p>
    <w:p>
      <w:pPr>
        <w:pStyle w:val="ListParagraph"/>
        <w:numPr>
          <w:ilvl w:val="0"/>
          <w:numId w:val="1"/>
        </w:numPr>
        <w:spacing w:after="60"/>
      </w:pPr>
      <w:r>
        <w:t xml:space="preserve">Report title present</w:t>
      </w:r>
    </w:p>
    <w:p>
      <w:pPr>
        <w:pStyle w:val="ListParagraph"/>
        <w:numPr>
          <w:ilvl w:val="0"/>
          <w:numId w:val="1"/>
        </w:numPr>
        <w:spacing w:after="60"/>
      </w:pPr>
      <w:r>
        <w:t xml:space="preserve">Date range selected</w:t>
      </w:r>
    </w:p>
    <w:p>
      <w:pPr>
        <w:pStyle w:val="ListParagraph"/>
        <w:numPr>
          <w:ilvl w:val="0"/>
          <w:numId w:val="1"/>
        </w:numPr>
        <w:spacing w:after="60"/>
      </w:pPr>
      <w:r>
        <w:t xml:space="preserve">Generated By present</w:t>
      </w:r>
    </w:p>
    <w:p>
      <w:pPr>
        <w:pStyle w:val="ListParagraph"/>
        <w:numPr>
          <w:ilvl w:val="0"/>
          <w:numId w:val="1"/>
        </w:numPr>
        <w:spacing w:after="60"/>
      </w:pPr>
      <w:r>
        <w:t xml:space="preserve">Insights included</w:t>
      </w:r>
    </w:p>
    <w:p>
      <w:pPr>
        <w:pStyle w:val="ListParagraph"/>
        <w:numPr>
          <w:ilvl w:val="0"/>
          <w:numId w:val="1"/>
        </w:numPr>
        <w:spacing w:after="60"/>
      </w:pPr>
      <w:r>
        <w:t xml:space="preserve">Tables verified</w:t>
      </w:r>
    </w:p>
    <w:p>
      <w:pPr>
        <w:spacing w:after="160"/>
      </w:pPr>
      <w:r>
        <w:t xml:space="preserve">This is a completeness check, not a blocking validation — it mirrors the soft-validation philosophy already used in the Daily Tracker (Module 03, Section 13).</w:t>
      </w:r>
    </w:p>
    <w:p>
      <w:pPr>
        <w:pStyle w:val="Heading1"/>
      </w:pPr>
      <w:r>
        <w:t xml:space="preserve">15. Editing Rules</w:t>
      </w:r>
    </w:p>
    <w:p>
      <w:pPr>
        <w:spacing w:after="160"/>
      </w:pPr>
      <w:r>
        <w:t xml:space="preserve">The Report Editor is designed for presentation refinement, not for altering operational records.</w:t>
      </w:r>
    </w:p>
    <w:p>
      <w:pPr>
        <w:spacing w:after="160"/>
      </w:pPr>
      <w:r>
        <w:t xml:space="preserve">Users may:</w:t>
      </w:r>
    </w:p>
    <w:p>
      <w:pPr>
        <w:pStyle w:val="ListParagraph"/>
        <w:numPr>
          <w:ilvl w:val="0"/>
          <w:numId w:val="1"/>
        </w:numPr>
        <w:spacing w:after="60"/>
      </w:pPr>
      <w:r>
        <w:t xml:space="preserve">Update headings.</w:t>
      </w:r>
    </w:p>
    <w:p>
      <w:pPr>
        <w:pStyle w:val="ListParagraph"/>
        <w:numPr>
          <w:ilvl w:val="0"/>
          <w:numId w:val="1"/>
        </w:numPr>
        <w:spacing w:after="60"/>
      </w:pPr>
      <w:r>
        <w:t xml:space="preserve">Add remarks.</w:t>
      </w:r>
    </w:p>
    <w:p>
      <w:pPr>
        <w:pStyle w:val="ListParagraph"/>
        <w:numPr>
          <w:ilvl w:val="0"/>
          <w:numId w:val="1"/>
        </w:numPr>
        <w:spacing w:after="60"/>
      </w:pPr>
      <w:r>
        <w:t xml:space="preserve">Reorder sections.</w:t>
      </w:r>
    </w:p>
    <w:p>
      <w:pPr>
        <w:pStyle w:val="ListParagraph"/>
        <w:numPr>
          <w:ilvl w:val="0"/>
          <w:numId w:val="1"/>
        </w:numPr>
        <w:spacing w:after="60"/>
      </w:pPr>
      <w:r>
        <w:t xml:space="preserve">Adjust the report’s visual theme.</w:t>
      </w:r>
    </w:p>
    <w:p>
      <w:pPr>
        <w:pStyle w:val="ListParagraph"/>
        <w:numPr>
          <w:ilvl w:val="0"/>
          <w:numId w:val="1"/>
        </w:numPr>
        <w:spacing w:after="60"/>
      </w:pPr>
      <w:r>
        <w:t xml:space="preserve">Correct a table value for presentation purposes.</w:t>
      </w:r>
    </w:p>
    <w:p>
      <w:pPr>
        <w:spacing w:after="160"/>
      </w:pPr>
      <w:r>
        <w:t xml:space="preserve">Operational data itself remains managed through its source modules (Daily Tracker, Weekly Tracker, Daily Leads). Editing a report never writes back to those records, which preserves data integrity.</w:t>
      </w:r>
    </w:p>
    <w:p>
      <w:pPr>
        <w:pStyle w:val="Heading1"/>
      </w:pPr>
      <w:r>
        <w:t xml:space="preserve">16. Insights Rules</w:t>
      </w:r>
    </w:p>
    <w:p>
      <w:pPr>
        <w:spacing w:after="160"/>
      </w:pPr>
      <w:r>
        <w:t xml:space="preserve">Insights are generated automatically from system data across four categories: Coordinator Insights, Company Insights, College Insights, and Trend Insights.</w:t>
      </w:r>
    </w:p>
    <w:p>
      <w:pPr>
        <w:pStyle w:val="ListParagraph"/>
        <w:numPr>
          <w:ilvl w:val="0"/>
          <w:numId w:val="1"/>
        </w:numPr>
        <w:spacing w:after="60"/>
      </w:pPr>
      <w:r>
        <w:t xml:space="preserve">Users may add their own remarks or comments alongside an insight.</w:t>
      </w:r>
    </w:p>
    <w:p>
      <w:pPr>
        <w:pStyle w:val="ListParagraph"/>
        <w:numPr>
          <w:ilvl w:val="0"/>
          <w:numId w:val="1"/>
        </w:numPr>
        <w:spacing w:after="60"/>
      </w:pPr>
      <w:r>
        <w:t xml:space="preserve">Users cannot change how the system calculates an insight.</w:t>
      </w:r>
    </w:p>
    <w:p>
      <w:pPr>
        <w:spacing w:after="160"/>
      </w:pPr>
      <w:r>
        <w:t xml:space="preserve">This preserves consistency and trust in the analytics.</w:t>
      </w:r>
    </w:p>
    <w:p>
      <w:pPr>
        <w:pStyle w:val="Heading1"/>
      </w:pPr>
      <w:r>
        <w:t xml:space="preserve">17. Role-Based Permission Matrix</w:t>
      </w:r>
    </w:p>
    <w:tbl>
      <w:tblPr>
        <w:tblW w:type="dxa" w:w="9746"/>
        <w:tblBorders>
          <w:top w:val="single" w:color="999999" w:sz="4"/>
          <w:left w:val="single" w:color="999999" w:sz="4"/>
          <w:bottom w:val="single" w:color="999999" w:sz="4"/>
          <w:right w:val="single" w:color="999999" w:sz="4"/>
          <w:insideH w:val="single" w:color="999999" w:sz="4"/>
          <w:insideV w:val="single" w:color="999999" w:sz="4"/>
        </w:tblBorders>
      </w:tblPr>
      <w:tblGrid>
        <w:gridCol w:w="100"/>
        <w:gridCol w:w="100"/>
        <w:gridCol w:w="100"/>
        <w:gridCol w:w="100"/>
      </w:tblGrid>
      <w:tr>
        <w:trPr>
          <w:tblHeader/>
        </w:trPr>
        <w:tc>
          <w:tcPr>
            <w:tcW w:type="dxa" w:w="4000"/>
            <w:shd w:fill="1F3864" w:color="auto" w:val="clear"/>
            <w:tcMar>
              <w:top w:type="dxa" w:w="80"/>
              <w:left w:type="dxa" w:w="100"/>
              <w:bottom w:type="dxa" w:w="80"/>
              <w:right w:type="dxa" w:w="100"/>
            </w:tcMar>
            <w:vAlign w:val="center"/>
          </w:tcPr>
          <w:p>
            <w:r>
              <w:rPr>
                <w:b/>
                <w:bCs/>
                <w:color w:val="FFFFFF"/>
              </w:rPr>
              <w:t xml:space="preserve">Feature / Action</w:t>
            </w:r>
          </w:p>
        </w:tc>
        <w:tc>
          <w:tcPr>
            <w:tcW w:type="dxa" w:w="1915"/>
            <w:shd w:fill="1F3864" w:color="auto" w:val="clear"/>
            <w:tcMar>
              <w:top w:type="dxa" w:w="80"/>
              <w:left w:type="dxa" w:w="100"/>
              <w:bottom w:type="dxa" w:w="80"/>
              <w:right w:type="dxa" w:w="100"/>
            </w:tcMar>
            <w:vAlign w:val="center"/>
          </w:tcPr>
          <w:p>
            <w:r>
              <w:rPr>
                <w:b/>
                <w:bCs/>
                <w:color w:val="FFFFFF"/>
              </w:rPr>
              <w:t xml:space="preserve">Coordinator</w:t>
            </w:r>
          </w:p>
        </w:tc>
        <w:tc>
          <w:tcPr>
            <w:tcW w:type="dxa" w:w="1915"/>
            <w:shd w:fill="1F3864" w:color="auto" w:val="clear"/>
            <w:tcMar>
              <w:top w:type="dxa" w:w="80"/>
              <w:left w:type="dxa" w:w="100"/>
              <w:bottom w:type="dxa" w:w="80"/>
              <w:right w:type="dxa" w:w="100"/>
            </w:tcMar>
            <w:vAlign w:val="center"/>
          </w:tcPr>
          <w:p>
            <w:r>
              <w:rPr>
                <w:b/>
                <w:bCs/>
                <w:color w:val="FFFFFF"/>
              </w:rPr>
              <w:t xml:space="preserve">Team Leader</w:t>
            </w:r>
          </w:p>
        </w:tc>
        <w:tc>
          <w:tcPr>
            <w:tcW w:type="dxa" w:w="1916"/>
            <w:shd w:fill="1F3864" w:color="auto" w:val="clear"/>
            <w:tcMar>
              <w:top w:type="dxa" w:w="80"/>
              <w:left w:type="dxa" w:w="100"/>
              <w:bottom w:type="dxa" w:w="80"/>
              <w:right w:type="dxa" w:w="100"/>
            </w:tcMar>
            <w:vAlign w:val="center"/>
          </w:tcPr>
          <w:p>
            <w:r>
              <w:rPr>
                <w:b/>
                <w:bCs/>
                <w:color w:val="FFFFFF"/>
              </w:rPr>
              <w:t xml:space="preserve">Administrator</w:t>
            </w:r>
          </w:p>
        </w:tc>
      </w:tr>
      <w:tr>
        <w:tc>
          <w:tcPr>
            <w:tcW w:type="dxa" w:w="4000"/>
            <w:tcMar>
              <w:top w:type="dxa" w:w="80"/>
              <w:left w:type="dxa" w:w="100"/>
              <w:bottom w:type="dxa" w:w="80"/>
              <w:right w:type="dxa" w:w="100"/>
            </w:tcMar>
            <w:vAlign w:val="center"/>
          </w:tcPr>
          <w:p>
            <w:r>
              <w:rPr>
                <w:b w:val="false"/>
                <w:bCs w:val="false"/>
              </w:rPr>
              <w:t xml:space="preserve">View Analytics (KPIs, comparisons, insights)</w:t>
            </w:r>
          </w:p>
        </w:tc>
        <w:tc>
          <w:tcPr>
            <w:tcW w:type="dxa" w:w="1915"/>
            <w:tcMar>
              <w:top w:type="dxa" w:w="80"/>
              <w:left w:type="dxa" w:w="100"/>
              <w:bottom w:type="dxa" w:w="80"/>
              <w:right w:type="dxa" w:w="100"/>
            </w:tcMar>
            <w:vAlign w:val="center"/>
          </w:tcPr>
          <w:p>
            <w:r>
              <w:rPr>
                <w:b w:val="false"/>
                <w:bCs w:val="false"/>
              </w:rPr>
              <w:t xml:space="preserve">Y</w:t>
            </w:r>
          </w:p>
        </w:tc>
        <w:tc>
          <w:tcPr>
            <w:tcW w:type="dxa" w:w="1915"/>
            <w:tcMar>
              <w:top w:type="dxa" w:w="80"/>
              <w:left w:type="dxa" w:w="100"/>
              <w:bottom w:type="dxa" w:w="80"/>
              <w:right w:type="dxa" w:w="100"/>
            </w:tcMar>
            <w:vAlign w:val="center"/>
          </w:tcPr>
          <w:p>
            <w:r>
              <w:rPr>
                <w:b w:val="false"/>
                <w:bCs w:val="false"/>
              </w:rPr>
              <w:t xml:space="preserve">Y</w:t>
            </w:r>
          </w:p>
        </w:tc>
        <w:tc>
          <w:tcPr>
            <w:tcW w:type="dxa" w:w="1916"/>
            <w:tcMar>
              <w:top w:type="dxa" w:w="80"/>
              <w:left w:type="dxa" w:w="100"/>
              <w:bottom w:type="dxa" w:w="80"/>
              <w:right w:type="dxa" w:w="100"/>
            </w:tcMar>
            <w:vAlign w:val="center"/>
          </w:tcPr>
          <w:p>
            <w:r>
              <w:rPr>
                <w:b w:val="false"/>
                <w:bCs w:val="false"/>
              </w:rPr>
              <w:t xml:space="preserve">Y</w:t>
            </w:r>
          </w:p>
        </w:tc>
      </w:tr>
      <w:tr>
        <w:tc>
          <w:tcPr>
            <w:tcW w:type="dxa" w:w="4000"/>
            <w:shd w:fill="F2F2F2" w:color="auto" w:val="clear"/>
            <w:tcMar>
              <w:top w:type="dxa" w:w="80"/>
              <w:left w:type="dxa" w:w="100"/>
              <w:bottom w:type="dxa" w:w="80"/>
              <w:right w:type="dxa" w:w="100"/>
            </w:tcMar>
            <w:vAlign w:val="center"/>
          </w:tcPr>
          <w:p>
            <w:r>
              <w:rPr>
                <w:b w:val="false"/>
                <w:bCs w:val="false"/>
              </w:rPr>
              <w:t xml:space="preserve">Generate a report via Report Builder</w:t>
            </w:r>
          </w:p>
        </w:tc>
        <w:tc>
          <w:tcPr>
            <w:tcW w:type="dxa" w:w="1915"/>
            <w:shd w:fill="F2F2F2" w:color="auto" w:val="clear"/>
            <w:tcMar>
              <w:top w:type="dxa" w:w="80"/>
              <w:left w:type="dxa" w:w="100"/>
              <w:bottom w:type="dxa" w:w="80"/>
              <w:right w:type="dxa" w:w="100"/>
            </w:tcMar>
            <w:vAlign w:val="center"/>
          </w:tcPr>
          <w:p>
            <w:r>
              <w:rPr>
                <w:b w:val="false"/>
                <w:bCs w:val="false"/>
              </w:rPr>
              <w:t xml:space="preserve">Y</w:t>
            </w:r>
          </w:p>
        </w:tc>
        <w:tc>
          <w:tcPr>
            <w:tcW w:type="dxa" w:w="1915"/>
            <w:shd w:fill="F2F2F2" w:color="auto" w:val="clear"/>
            <w:tcMar>
              <w:top w:type="dxa" w:w="80"/>
              <w:left w:type="dxa" w:w="100"/>
              <w:bottom w:type="dxa" w:w="80"/>
              <w:right w:type="dxa" w:w="100"/>
            </w:tcMar>
            <w:vAlign w:val="center"/>
          </w:tcPr>
          <w:p>
            <w:r>
              <w:rPr>
                <w:b w:val="false"/>
                <w:bCs w:val="false"/>
              </w:rPr>
              <w:t xml:space="preserve">Y</w:t>
            </w:r>
          </w:p>
        </w:tc>
        <w:tc>
          <w:tcPr>
            <w:tcW w:type="dxa" w:w="1916"/>
            <w:shd w:fill="F2F2F2" w:color="auto" w:val="clear"/>
            <w:tcMar>
              <w:top w:type="dxa" w:w="80"/>
              <w:left w:type="dxa" w:w="100"/>
              <w:bottom w:type="dxa" w:w="80"/>
              <w:right w:type="dxa" w:w="100"/>
            </w:tcMar>
            <w:vAlign w:val="center"/>
          </w:tcPr>
          <w:p>
            <w:r>
              <w:rPr>
                <w:b w:val="false"/>
                <w:bCs w:val="false"/>
              </w:rPr>
              <w:t xml:space="preserve">Y</w:t>
            </w:r>
          </w:p>
        </w:tc>
      </w:tr>
      <w:tr>
        <w:tc>
          <w:tcPr>
            <w:tcW w:type="dxa" w:w="4000"/>
            <w:tcMar>
              <w:top w:type="dxa" w:w="80"/>
              <w:left w:type="dxa" w:w="100"/>
              <w:bottom w:type="dxa" w:w="80"/>
              <w:right w:type="dxa" w:w="100"/>
            </w:tcMar>
            <w:vAlign w:val="center"/>
          </w:tcPr>
          <w:p>
            <w:r>
              <w:rPr>
                <w:b w:val="false"/>
                <w:bCs w:val="false"/>
              </w:rPr>
              <w:t xml:space="preserve">Edit a generated report (Report Editor)</w:t>
            </w:r>
          </w:p>
        </w:tc>
        <w:tc>
          <w:tcPr>
            <w:tcW w:type="dxa" w:w="1915"/>
            <w:tcMar>
              <w:top w:type="dxa" w:w="80"/>
              <w:left w:type="dxa" w:w="100"/>
              <w:bottom w:type="dxa" w:w="80"/>
              <w:right w:type="dxa" w:w="100"/>
            </w:tcMar>
            <w:vAlign w:val="center"/>
          </w:tcPr>
          <w:p>
            <w:r>
              <w:rPr>
                <w:b w:val="false"/>
                <w:bCs w:val="false"/>
              </w:rPr>
              <w:t xml:space="preserve">Y</w:t>
            </w:r>
          </w:p>
        </w:tc>
        <w:tc>
          <w:tcPr>
            <w:tcW w:type="dxa" w:w="1915"/>
            <w:tcMar>
              <w:top w:type="dxa" w:w="80"/>
              <w:left w:type="dxa" w:w="100"/>
              <w:bottom w:type="dxa" w:w="80"/>
              <w:right w:type="dxa" w:w="100"/>
            </w:tcMar>
            <w:vAlign w:val="center"/>
          </w:tcPr>
          <w:p>
            <w:r>
              <w:rPr>
                <w:b w:val="false"/>
                <w:bCs w:val="false"/>
              </w:rPr>
              <w:t xml:space="preserve">Y</w:t>
            </w:r>
          </w:p>
        </w:tc>
        <w:tc>
          <w:tcPr>
            <w:tcW w:type="dxa" w:w="1916"/>
            <w:tcMar>
              <w:top w:type="dxa" w:w="80"/>
              <w:left w:type="dxa" w:w="100"/>
              <w:bottom w:type="dxa" w:w="80"/>
              <w:right w:type="dxa" w:w="100"/>
            </w:tcMar>
            <w:vAlign w:val="center"/>
          </w:tcPr>
          <w:p>
            <w:r>
              <w:rPr>
                <w:b w:val="false"/>
                <w:bCs w:val="false"/>
              </w:rPr>
              <w:t xml:space="preserve">Y</w:t>
            </w:r>
          </w:p>
        </w:tc>
      </w:tr>
      <w:tr>
        <w:tc>
          <w:tcPr>
            <w:tcW w:type="dxa" w:w="4000"/>
            <w:shd w:fill="F2F2F2" w:color="auto" w:val="clear"/>
            <w:tcMar>
              <w:top w:type="dxa" w:w="80"/>
              <w:left w:type="dxa" w:w="100"/>
              <w:bottom w:type="dxa" w:w="80"/>
              <w:right w:type="dxa" w:w="100"/>
            </w:tcMar>
            <w:vAlign w:val="center"/>
          </w:tcPr>
          <w:p>
            <w:r>
              <w:rPr>
                <w:b w:val="false"/>
                <w:bCs w:val="false"/>
              </w:rPr>
              <w:t xml:space="preserve">View / generate reports for own assigned colleges</w:t>
            </w:r>
          </w:p>
        </w:tc>
        <w:tc>
          <w:tcPr>
            <w:tcW w:type="dxa" w:w="1915"/>
            <w:shd w:fill="F2F2F2" w:color="auto" w:val="clear"/>
            <w:tcMar>
              <w:top w:type="dxa" w:w="80"/>
              <w:left w:type="dxa" w:w="100"/>
              <w:bottom w:type="dxa" w:w="80"/>
              <w:right w:type="dxa" w:w="100"/>
            </w:tcMar>
            <w:vAlign w:val="center"/>
          </w:tcPr>
          <w:p>
            <w:r>
              <w:rPr>
                <w:b w:val="false"/>
                <w:bCs w:val="false"/>
              </w:rPr>
              <w:t xml:space="preserve">Y</w:t>
            </w:r>
          </w:p>
        </w:tc>
        <w:tc>
          <w:tcPr>
            <w:tcW w:type="dxa" w:w="1915"/>
            <w:shd w:fill="F2F2F2" w:color="auto" w:val="clear"/>
            <w:tcMar>
              <w:top w:type="dxa" w:w="80"/>
              <w:left w:type="dxa" w:w="100"/>
              <w:bottom w:type="dxa" w:w="80"/>
              <w:right w:type="dxa" w:w="100"/>
            </w:tcMar>
            <w:vAlign w:val="center"/>
          </w:tcPr>
          <w:p>
            <w:r>
              <w:rPr>
                <w:b w:val="false"/>
                <w:bCs w:val="false"/>
              </w:rPr>
              <w:t xml:space="preserve">Y</w:t>
            </w:r>
          </w:p>
        </w:tc>
        <w:tc>
          <w:tcPr>
            <w:tcW w:type="dxa" w:w="1916"/>
            <w:shd w:fill="F2F2F2" w:color="auto" w:val="clear"/>
            <w:tcMar>
              <w:top w:type="dxa" w:w="80"/>
              <w:left w:type="dxa" w:w="100"/>
              <w:bottom w:type="dxa" w:w="80"/>
              <w:right w:type="dxa" w:w="100"/>
            </w:tcMar>
            <w:vAlign w:val="center"/>
          </w:tcPr>
          <w:p>
            <w:r>
              <w:rPr>
                <w:b w:val="false"/>
                <w:bCs w:val="false"/>
              </w:rPr>
              <w:t xml:space="preserve">Y</w:t>
            </w:r>
          </w:p>
        </w:tc>
      </w:tr>
      <w:tr>
        <w:tc>
          <w:tcPr>
            <w:tcW w:type="dxa" w:w="4000"/>
            <w:tcMar>
              <w:top w:type="dxa" w:w="80"/>
              <w:left w:type="dxa" w:w="100"/>
              <w:bottom w:type="dxa" w:w="80"/>
              <w:right w:type="dxa" w:w="100"/>
            </w:tcMar>
            <w:vAlign w:val="center"/>
          </w:tcPr>
          <w:p>
            <w:r>
              <w:rPr>
                <w:b w:val="false"/>
                <w:bCs w:val="false"/>
              </w:rPr>
              <w:t xml:space="preserve">View / generate reports for any college or coordinator</w:t>
            </w:r>
          </w:p>
        </w:tc>
        <w:tc>
          <w:tcPr>
            <w:tcW w:type="dxa" w:w="1915"/>
            <w:tcMar>
              <w:top w:type="dxa" w:w="80"/>
              <w:left w:type="dxa" w:w="100"/>
              <w:bottom w:type="dxa" w:w="80"/>
              <w:right w:type="dxa" w:w="100"/>
            </w:tcMar>
            <w:vAlign w:val="center"/>
          </w:tcPr>
          <w:p>
            <w:r>
              <w:rPr>
                <w:b w:val="false"/>
                <w:bCs w:val="false"/>
              </w:rPr>
              <w:t xml:space="preserve">N</w:t>
            </w:r>
          </w:p>
        </w:tc>
        <w:tc>
          <w:tcPr>
            <w:tcW w:type="dxa" w:w="1915"/>
            <w:tcMar>
              <w:top w:type="dxa" w:w="80"/>
              <w:left w:type="dxa" w:w="100"/>
              <w:bottom w:type="dxa" w:w="80"/>
              <w:right w:type="dxa" w:w="100"/>
            </w:tcMar>
            <w:vAlign w:val="center"/>
          </w:tcPr>
          <w:p>
            <w:r>
              <w:rPr>
                <w:b w:val="false"/>
                <w:bCs w:val="false"/>
              </w:rPr>
              <w:t xml:space="preserve">Y</w:t>
            </w:r>
          </w:p>
        </w:tc>
        <w:tc>
          <w:tcPr>
            <w:tcW w:type="dxa" w:w="1916"/>
            <w:tcMar>
              <w:top w:type="dxa" w:w="80"/>
              <w:left w:type="dxa" w:w="100"/>
              <w:bottom w:type="dxa" w:w="80"/>
              <w:right w:type="dxa" w:w="100"/>
            </w:tcMar>
            <w:vAlign w:val="center"/>
          </w:tcPr>
          <w:p>
            <w:r>
              <w:rPr>
                <w:b w:val="false"/>
                <w:bCs w:val="false"/>
              </w:rPr>
              <w:t xml:space="preserve">Y</w:t>
            </w:r>
          </w:p>
        </w:tc>
      </w:tr>
      <w:tr>
        <w:tc>
          <w:tcPr>
            <w:tcW w:type="dxa" w:w="4000"/>
            <w:shd w:fill="F2F2F2" w:color="auto" w:val="clear"/>
            <w:tcMar>
              <w:top w:type="dxa" w:w="80"/>
              <w:left w:type="dxa" w:w="100"/>
              <w:bottom w:type="dxa" w:w="80"/>
              <w:right w:type="dxa" w:w="100"/>
            </w:tcMar>
            <w:vAlign w:val="center"/>
          </w:tcPr>
          <w:p>
            <w:r>
              <w:rPr>
                <w:b w:val="false"/>
                <w:bCs w:val="false"/>
              </w:rPr>
              <w:t xml:space="preserve">Export a report (PDF / Excel / PNG)</w:t>
            </w:r>
          </w:p>
        </w:tc>
        <w:tc>
          <w:tcPr>
            <w:tcW w:type="dxa" w:w="1915"/>
            <w:shd w:fill="F2F2F2" w:color="auto" w:val="clear"/>
            <w:tcMar>
              <w:top w:type="dxa" w:w="80"/>
              <w:left w:type="dxa" w:w="100"/>
              <w:bottom w:type="dxa" w:w="80"/>
              <w:right w:type="dxa" w:w="100"/>
            </w:tcMar>
            <w:vAlign w:val="center"/>
          </w:tcPr>
          <w:p>
            <w:r>
              <w:rPr>
                <w:b w:val="false"/>
                <w:bCs w:val="false"/>
              </w:rPr>
              <w:t xml:space="preserve">Y</w:t>
            </w:r>
          </w:p>
        </w:tc>
        <w:tc>
          <w:tcPr>
            <w:tcW w:type="dxa" w:w="1915"/>
            <w:shd w:fill="F2F2F2" w:color="auto" w:val="clear"/>
            <w:tcMar>
              <w:top w:type="dxa" w:w="80"/>
              <w:left w:type="dxa" w:w="100"/>
              <w:bottom w:type="dxa" w:w="80"/>
              <w:right w:type="dxa" w:w="100"/>
            </w:tcMar>
            <w:vAlign w:val="center"/>
          </w:tcPr>
          <w:p>
            <w:r>
              <w:rPr>
                <w:b w:val="false"/>
                <w:bCs w:val="false"/>
              </w:rPr>
              <w:t xml:space="preserve">Y</w:t>
            </w:r>
          </w:p>
        </w:tc>
        <w:tc>
          <w:tcPr>
            <w:tcW w:type="dxa" w:w="1916"/>
            <w:shd w:fill="F2F2F2" w:color="auto" w:val="clear"/>
            <w:tcMar>
              <w:top w:type="dxa" w:w="80"/>
              <w:left w:type="dxa" w:w="100"/>
              <w:bottom w:type="dxa" w:w="80"/>
              <w:right w:type="dxa" w:w="100"/>
            </w:tcMar>
            <w:vAlign w:val="center"/>
          </w:tcPr>
          <w:p>
            <w:r>
              <w:rPr>
                <w:b w:val="false"/>
                <w:bCs w:val="false"/>
              </w:rPr>
              <w:t xml:space="preserve">Y</w:t>
            </w:r>
          </w:p>
        </w:tc>
      </w:tr>
      <w:tr>
        <w:tc>
          <w:tcPr>
            <w:tcW w:type="dxa" w:w="4000"/>
            <w:tcMar>
              <w:top w:type="dxa" w:w="80"/>
              <w:left w:type="dxa" w:w="100"/>
              <w:bottom w:type="dxa" w:w="80"/>
              <w:right w:type="dxa" w:w="100"/>
            </w:tcMar>
            <w:vAlign w:val="center"/>
          </w:tcPr>
          <w:p>
            <w:r>
              <w:rPr>
                <w:b w:val="false"/>
                <w:bCs w:val="false"/>
              </w:rPr>
              <w:t xml:space="preserve">Share a report externally (Teams / WhatsApp — future)</w:t>
            </w:r>
          </w:p>
        </w:tc>
        <w:tc>
          <w:tcPr>
            <w:tcW w:type="dxa" w:w="1915"/>
            <w:tcMar>
              <w:top w:type="dxa" w:w="80"/>
              <w:left w:type="dxa" w:w="100"/>
              <w:bottom w:type="dxa" w:w="80"/>
              <w:right w:type="dxa" w:w="100"/>
            </w:tcMar>
            <w:vAlign w:val="center"/>
          </w:tcPr>
          <w:p>
            <w:r>
              <w:rPr>
                <w:b w:val="false"/>
                <w:bCs w:val="false"/>
              </w:rPr>
              <w:t xml:space="preserve">Y</w:t>
            </w:r>
          </w:p>
        </w:tc>
        <w:tc>
          <w:tcPr>
            <w:tcW w:type="dxa" w:w="1915"/>
            <w:tcMar>
              <w:top w:type="dxa" w:w="80"/>
              <w:left w:type="dxa" w:w="100"/>
              <w:bottom w:type="dxa" w:w="80"/>
              <w:right w:type="dxa" w:w="100"/>
            </w:tcMar>
            <w:vAlign w:val="center"/>
          </w:tcPr>
          <w:p>
            <w:r>
              <w:rPr>
                <w:b w:val="false"/>
                <w:bCs w:val="false"/>
              </w:rPr>
              <w:t xml:space="preserve">Y</w:t>
            </w:r>
          </w:p>
        </w:tc>
        <w:tc>
          <w:tcPr>
            <w:tcW w:type="dxa" w:w="1916"/>
            <w:tcMar>
              <w:top w:type="dxa" w:w="80"/>
              <w:left w:type="dxa" w:w="100"/>
              <w:bottom w:type="dxa" w:w="80"/>
              <w:right w:type="dxa" w:w="100"/>
            </w:tcMar>
            <w:vAlign w:val="center"/>
          </w:tcPr>
          <w:p>
            <w:r>
              <w:rPr>
                <w:b w:val="false"/>
                <w:bCs w:val="false"/>
              </w:rPr>
              <w:t xml:space="preserve">Y</w:t>
            </w:r>
          </w:p>
        </w:tc>
      </w:tr>
      <w:tr>
        <w:tc>
          <w:tcPr>
            <w:tcW w:type="dxa" w:w="4000"/>
            <w:shd w:fill="F2F2F2" w:color="auto" w:val="clear"/>
            <w:tcMar>
              <w:top w:type="dxa" w:w="80"/>
              <w:left w:type="dxa" w:w="100"/>
              <w:bottom w:type="dxa" w:w="80"/>
              <w:right w:type="dxa" w:w="100"/>
            </w:tcMar>
            <w:vAlign w:val="center"/>
          </w:tcPr>
          <w:p>
            <w:r>
              <w:rPr>
                <w:b w:val="false"/>
                <w:bCs w:val="false"/>
              </w:rPr>
              <w:t xml:space="preserve">Modify report branding defaults (theme, footer text)</w:t>
            </w:r>
          </w:p>
        </w:tc>
        <w:tc>
          <w:tcPr>
            <w:tcW w:type="dxa" w:w="1915"/>
            <w:shd w:fill="F2F2F2" w:color="auto" w:val="clear"/>
            <w:tcMar>
              <w:top w:type="dxa" w:w="80"/>
              <w:left w:type="dxa" w:w="100"/>
              <w:bottom w:type="dxa" w:w="80"/>
              <w:right w:type="dxa" w:w="100"/>
            </w:tcMar>
            <w:vAlign w:val="center"/>
          </w:tcPr>
          <w:p>
            <w:r>
              <w:rPr>
                <w:b w:val="false"/>
                <w:bCs w:val="false"/>
              </w:rPr>
              <w:t xml:space="preserve">N</w:t>
            </w:r>
          </w:p>
        </w:tc>
        <w:tc>
          <w:tcPr>
            <w:tcW w:type="dxa" w:w="1915"/>
            <w:shd w:fill="F2F2F2" w:color="auto" w:val="clear"/>
            <w:tcMar>
              <w:top w:type="dxa" w:w="80"/>
              <w:left w:type="dxa" w:w="100"/>
              <w:bottom w:type="dxa" w:w="80"/>
              <w:right w:type="dxa" w:w="100"/>
            </w:tcMar>
            <w:vAlign w:val="center"/>
          </w:tcPr>
          <w:p>
            <w:r>
              <w:rPr>
                <w:b w:val="false"/>
                <w:bCs w:val="false"/>
              </w:rPr>
              <w:t xml:space="preserve">N</w:t>
            </w:r>
          </w:p>
        </w:tc>
        <w:tc>
          <w:tcPr>
            <w:tcW w:type="dxa" w:w="1916"/>
            <w:shd w:fill="F2F2F2" w:color="auto" w:val="clear"/>
            <w:tcMar>
              <w:top w:type="dxa" w:w="80"/>
              <w:left w:type="dxa" w:w="100"/>
              <w:bottom w:type="dxa" w:w="80"/>
              <w:right w:type="dxa" w:w="100"/>
            </w:tcMar>
            <w:vAlign w:val="center"/>
          </w:tcPr>
          <w:p>
            <w:r>
              <w:rPr>
                <w:b w:val="false"/>
                <w:bCs w:val="false"/>
              </w:rPr>
              <w:t xml:space="preserve">Y</w:t>
            </w:r>
          </w:p>
        </w:tc>
      </w:tr>
    </w:tbl>
    <w:p>
      <w:r>
        <w:t xml:space="preserve"/>
      </w:r>
    </w:p>
    <w:p>
      <w:pPr>
        <w:pStyle w:val="Heading1"/>
      </w:pPr>
      <w:r>
        <w:t xml:space="preserve">18. Integration With Other Modules</w:t>
      </w:r>
    </w:p>
    <w:p>
      <w:pPr>
        <w:pStyle w:val="ListParagraph"/>
        <w:numPr>
          <w:ilvl w:val="0"/>
          <w:numId w:val="1"/>
        </w:numPr>
        <w:spacing w:after="60"/>
      </w:pPr>
      <w:r>
        <w:t xml:space="preserve">User Management: supplies coordinator and team leader names and college assignments used to filter reports.</w:t>
      </w:r>
    </w:p>
    <w:p>
      <w:pPr>
        <w:pStyle w:val="ListParagraph"/>
        <w:numPr>
          <w:ilvl w:val="0"/>
          <w:numId w:val="1"/>
        </w:numPr>
        <w:spacing w:after="60"/>
      </w:pPr>
      <w:r>
        <w:t xml:space="preserve">Master Company Database: supplies company-level details referenced in Company Analytics and report tables.</w:t>
      </w:r>
    </w:p>
    <w:p>
      <w:pPr>
        <w:pStyle w:val="ListParagraph"/>
        <w:numPr>
          <w:ilvl w:val="0"/>
          <w:numId w:val="1"/>
        </w:numPr>
        <w:spacing w:after="60"/>
      </w:pPr>
      <w:r>
        <w:t xml:space="preserve">Daily Tracker (Module 03): supplies daily call activity that rolls up into weekly and monthly figures.</w:t>
      </w:r>
    </w:p>
    <w:p>
      <w:pPr>
        <w:pStyle w:val="ListParagraph"/>
        <w:numPr>
          <w:ilvl w:val="0"/>
          <w:numId w:val="1"/>
        </w:numPr>
        <w:spacing w:after="60"/>
      </w:pPr>
      <w:r>
        <w:t xml:space="preserve">Weekly Tracker (Module 04): supplies the Completed / In Progress / Pipeline groupings that the Weekly Placement Report reads directly, without the coordinator re-entering anything.</w:t>
      </w:r>
    </w:p>
    <w:p>
      <w:pPr>
        <w:pStyle w:val="ListParagraph"/>
        <w:numPr>
          <w:ilvl w:val="0"/>
          <w:numId w:val="1"/>
        </w:numPr>
        <w:spacing w:after="60"/>
      </w:pPr>
      <w:r>
        <w:t xml:space="preserve">Daily Leads (Module 05): supplies positive responses and JD-received figures used across Analytics and reports.</w:t>
      </w:r>
    </w:p>
    <w:p>
      <w:pPr>
        <w:spacing w:after="160"/>
      </w:pPr>
      <w:r>
        <w:t xml:space="preserve">Architectural decision carried forward from this discussion: Reports &amp; Analytics never duplicates or re-keys data — it only reads and formats what already exists elsewhere in iPOMS.</w:t>
      </w:r>
    </w:p>
    <w:p>
      <w:pPr>
        <w:pStyle w:val="Heading1"/>
      </w:pPr>
      <w:r>
        <w:t xml:space="preserve">19. Business Rules Summary</w:t>
      </w:r>
    </w:p>
    <w:p>
      <w:pPr>
        <w:pStyle w:val="ListParagraph"/>
        <w:numPr>
          <w:ilvl w:val="0"/>
          <w:numId w:val="1"/>
        </w:numPr>
        <w:spacing w:after="60"/>
      </w:pPr>
      <w:r>
        <w:t xml:space="preserve">Reports &amp; Analytics reads data from other modules; it does not maintain its own operational records.</w:t>
      </w:r>
    </w:p>
    <w:p>
      <w:pPr>
        <w:pStyle w:val="ListParagraph"/>
        <w:numPr>
          <w:ilvl w:val="0"/>
          <w:numId w:val="1"/>
        </w:numPr>
        <w:spacing w:after="60"/>
      </w:pPr>
      <w:r>
        <w:t xml:space="preserve">The Analytics section is always live and is never exported as a standalone document.</w:t>
      </w:r>
    </w:p>
    <w:p>
      <w:pPr>
        <w:pStyle w:val="ListParagraph"/>
        <w:numPr>
          <w:ilvl w:val="0"/>
          <w:numId w:val="1"/>
        </w:numPr>
        <w:spacing w:after="60"/>
      </w:pPr>
      <w:r>
        <w:t xml:space="preserve">Only four report templates exist in v1.0: Weekly Placement, Monthly Placement, College Performance, Coordinator Performance.</w:t>
      </w:r>
    </w:p>
    <w:p>
      <w:pPr>
        <w:pStyle w:val="ListParagraph"/>
        <w:numPr>
          <w:ilvl w:val="0"/>
          <w:numId w:val="1"/>
        </w:numPr>
        <w:spacing w:after="60"/>
      </w:pPr>
      <w:r>
        <w:t xml:space="preserve">A separate Company Report, Daily Report, Pipeline Report, and Conversion Report are intentionally not provided; their data is available elsewhere (see Section 8.2).</w:t>
      </w:r>
    </w:p>
    <w:p>
      <w:pPr>
        <w:pStyle w:val="ListParagraph"/>
        <w:numPr>
          <w:ilvl w:val="0"/>
          <w:numId w:val="1"/>
        </w:numPr>
        <w:spacing w:after="60"/>
      </w:pPr>
      <w:r>
        <w:t xml:space="preserve">A report is generated only on explicit user action (Generate Report) and reflects data at that moment.</w:t>
      </w:r>
    </w:p>
    <w:p>
      <w:pPr>
        <w:pStyle w:val="ListParagraph"/>
        <w:numPr>
          <w:ilvl w:val="0"/>
          <w:numId w:val="1"/>
        </w:numPr>
        <w:spacing w:after="60"/>
      </w:pPr>
      <w:r>
        <w:t xml:space="preserve">Reports are never stored inside iPOMS; the user chooses a save location on export.</w:t>
      </w:r>
    </w:p>
    <w:p>
      <w:pPr>
        <w:pStyle w:val="ListParagraph"/>
        <w:numPr>
          <w:ilvl w:val="0"/>
          <w:numId w:val="1"/>
        </w:numPr>
        <w:spacing w:after="60"/>
      </w:pPr>
      <w:r>
        <w:t xml:space="preserve">Every generated report automatically carries the Infoziant logo, the relevant college logo, title, period, Generated By, Generated Date, and a confidential footer.</w:t>
      </w:r>
    </w:p>
    <w:p>
      <w:pPr>
        <w:pStyle w:val="ListParagraph"/>
        <w:numPr>
          <w:ilvl w:val="0"/>
          <w:numId w:val="1"/>
        </w:numPr>
        <w:spacing w:after="60"/>
      </w:pPr>
      <w:r>
        <w:t xml:space="preserve">The Report Editor allows presentation-level edits (text, layout, theme, remarks) but never writes changes back to operational records.</w:t>
      </w:r>
    </w:p>
    <w:p>
      <w:pPr>
        <w:pStyle w:val="ListParagraph"/>
        <w:numPr>
          <w:ilvl w:val="0"/>
          <w:numId w:val="1"/>
        </w:numPr>
        <w:spacing w:after="60"/>
      </w:pPr>
      <w:r>
        <w:t xml:space="preserve">Insights are system-calculated and cannot be recalculated or overridden by users; users may only add remarks alongside them.</w:t>
      </w:r>
    </w:p>
    <w:p>
      <w:pPr>
        <w:pStyle w:val="ListParagraph"/>
        <w:numPr>
          <w:ilvl w:val="0"/>
          <w:numId w:val="1"/>
        </w:numPr>
        <w:spacing w:after="60"/>
      </w:pPr>
      <w:r>
        <w:t xml:space="preserve">Coordinator Performance Reports do not include rankings in Version 1.0, to keep the emphasis on metrics rather than position.</w:t>
      </w:r>
    </w:p>
    <w:p>
      <w:pPr>
        <w:pStyle w:val="Heading1"/>
      </w:pPr>
      <w:r>
        <w:t xml:space="preserve">20. Deferred / Out of Scope for v1.0</w:t>
      </w:r>
    </w:p>
    <w:p>
      <w:pPr>
        <w:pStyle w:val="ListParagraph"/>
        <w:numPr>
          <w:ilvl w:val="0"/>
          <w:numId w:val="1"/>
        </w:numPr>
        <w:spacing w:after="60"/>
      </w:pPr>
      <w:r>
        <w:t xml:space="preserve">A dedicated Company Report — superseded by Company Analytics and the existing four templates.</w:t>
      </w:r>
    </w:p>
    <w:p>
      <w:pPr>
        <w:pStyle w:val="ListParagraph"/>
        <w:numPr>
          <w:ilvl w:val="0"/>
          <w:numId w:val="1"/>
        </w:numPr>
        <w:spacing w:after="60"/>
      </w:pPr>
      <w:r>
        <w:t xml:space="preserve">Daily Report, Placement Pipeline Report, and Lead Conversion Report as standalone documents.</w:t>
      </w:r>
    </w:p>
    <w:p>
      <w:pPr>
        <w:pStyle w:val="ListParagraph"/>
        <w:numPr>
          <w:ilvl w:val="0"/>
          <w:numId w:val="1"/>
        </w:numPr>
        <w:spacing w:after="60"/>
      </w:pPr>
      <w:r>
        <w:t xml:space="preserve">Coordinator rankings or leaderboards within the Coordinator Performance Report.</w:t>
      </w:r>
    </w:p>
    <w:p>
      <w:pPr>
        <w:pStyle w:val="ListParagraph"/>
        <w:numPr>
          <w:ilvl w:val="0"/>
          <w:numId w:val="1"/>
        </w:numPr>
        <w:spacing w:after="60"/>
      </w:pPr>
      <w:r>
        <w:t xml:space="preserve">Cloud storage of generated reports inside iPOMS.</w:t>
      </w:r>
    </w:p>
    <w:p>
      <w:pPr>
        <w:pStyle w:val="ListParagraph"/>
        <w:numPr>
          <w:ilvl w:val="0"/>
          <w:numId w:val="1"/>
        </w:numPr>
        <w:spacing w:after="60"/>
      </w:pPr>
      <w:r>
        <w:t xml:space="preserve">Direct one-click sharing to Microsoft Teams or WhatsApp — the Share action exists as a placeholder; the underlying integration is a future enhancement.</w:t>
      </w:r>
    </w:p>
    <w:p>
      <w:pPr>
        <w:pStyle w:val="ListParagraph"/>
        <w:numPr>
          <w:ilvl w:val="0"/>
          <w:numId w:val="1"/>
        </w:numPr>
        <w:spacing w:after="60"/>
      </w:pPr>
      <w:r>
        <w:t xml:space="preserve">Embedding the Canva editor as the report-editing surface.</w:t>
      </w:r>
    </w:p>
    <w:p>
      <w:pPr>
        <w:pStyle w:val="ListParagraph"/>
        <w:numPr>
          <w:ilvl w:val="0"/>
          <w:numId w:val="1"/>
        </w:numPr>
        <w:spacing w:after="60"/>
      </w:pPr>
      <w:r>
        <w:t xml:space="preserve">AI-generated narrative summaries beyond the rule-based Insights Panel.</w:t>
      </w:r>
    </w:p>
    <w:p>
      <w:pPr>
        <w:pStyle w:val="ListParagraph"/>
        <w:numPr>
          <w:ilvl w:val="0"/>
          <w:numId w:val="1"/>
        </w:numPr>
        <w:spacing w:after="60"/>
      </w:pPr>
      <w:r>
        <w:t xml:space="preserve">Organization-specific branding themes beyond the initial theme set.</w:t>
      </w:r>
    </w:p>
    <w:p>
      <w:pPr>
        <w:pStyle w:val="Heading1"/>
      </w:pPr>
      <w:r>
        <w:t xml:space="preserve">21. Conclusion</w:t>
      </w:r>
    </w:p>
    <w:p>
      <w:pPr>
        <w:spacing w:after="160"/>
      </w:pPr>
      <w:r>
        <w:t xml:space="preserve">Module 06 is considered functionally complete (Version 1.0). Reports &amp; Analytics gives Coordinators, Team Leaders, and Administrators a live analytical view of performance, and a Report Builder that produces polished, editable, branded reports directly from operational data — removing the team’s dependency on Canva for routine weekly and monthly reporting, while keeping report storage entirely in the user’s own hands.</w:t>
      </w:r>
    </w:p>
    <w:p>
      <w:pPr>
        <w:pStyle w:val="Heading1"/>
      </w:pPr>
      <w:r>
        <w:t xml:space="preserve">22. Next Steps</w:t>
      </w:r>
    </w:p>
    <w:p>
      <w:pPr>
        <w:spacing w:after="160"/>
      </w:pPr>
      <w:r>
        <w:t xml:space="preserve">Modules 03 (Daily Tracker), 04 (Weekly Tracker), 05 (Daily Leads), and 06 (Reports &amp; Analytics) now form a complete operational-to-reporting chain. Further documentation — such as Administration &amp; Settings, or platform-wide non-functional requirements — can be scoped next at the CEO’s direction.</w:t>
      </w:r>
    </w:p>
    <w:p>
      <w:pPr>
        <w:pStyle w:val="Heading1"/>
      </w:pPr>
      <w:r>
        <w:t xml:space="preserve">23. Approval Sheet</w:t>
      </w:r>
    </w:p>
    <w:p>
      <w:pPr>
        <w:spacing w:after="160"/>
      </w:pPr>
      <w:r>
        <w:t xml:space="preserve">This document requires review and sign-off before Module 06 is considered finalized and committed to development.</w:t>
      </w:r>
    </w:p>
    <w:p>
      <w:r>
        <w:t xml:space="preserve"/>
      </w:r>
    </w:p>
    <w:tbl>
      <w:tblPr>
        <w:tblW w:type="dxa" w:w="9746"/>
        <w:tblBorders>
          <w:top w:val="single" w:color="999999" w:sz="4"/>
          <w:left w:val="single" w:color="999999" w:sz="4"/>
          <w:bottom w:val="single" w:color="999999" w:sz="4"/>
          <w:right w:val="single" w:color="999999" w:sz="4"/>
          <w:insideH w:val="single" w:color="999999" w:sz="4"/>
          <w:insideV w:val="single" w:color="999999" w:sz="4"/>
        </w:tblBorders>
      </w:tblPr>
      <w:tblGrid>
        <w:gridCol w:w="100"/>
        <w:gridCol w:w="100"/>
        <w:gridCol w:w="100"/>
        <w:gridCol w:w="100"/>
      </w:tblGrid>
      <w:tr>
        <w:trPr>
          <w:tblHeader/>
        </w:trPr>
        <w:tc>
          <w:tcPr>
            <w:tcW w:type="dxa" w:w="3000"/>
            <w:shd w:fill="1F3864" w:color="auto" w:val="clear"/>
            <w:tcMar>
              <w:top w:type="dxa" w:w="80"/>
              <w:left w:type="dxa" w:w="100"/>
              <w:bottom w:type="dxa" w:w="80"/>
              <w:right w:type="dxa" w:w="100"/>
            </w:tcMar>
            <w:vAlign w:val="center"/>
          </w:tcPr>
          <w:p>
            <w:r>
              <w:rPr>
                <w:b/>
                <w:bCs/>
                <w:color w:val="FFFFFF"/>
              </w:rPr>
              <w:t xml:space="preserve">Role</w:t>
            </w:r>
          </w:p>
        </w:tc>
        <w:tc>
          <w:tcPr>
            <w:tcW w:type="dxa" w:w="2246"/>
            <w:shd w:fill="1F3864" w:color="auto" w:val="clear"/>
            <w:tcMar>
              <w:top w:type="dxa" w:w="80"/>
              <w:left w:type="dxa" w:w="100"/>
              <w:bottom w:type="dxa" w:w="80"/>
              <w:right w:type="dxa" w:w="100"/>
            </w:tcMar>
            <w:vAlign w:val="center"/>
          </w:tcPr>
          <w:p>
            <w:r>
              <w:rPr>
                <w:b/>
                <w:bCs/>
                <w:color w:val="FFFFFF"/>
              </w:rPr>
              <w:t xml:space="preserve">Name</w:t>
            </w:r>
          </w:p>
        </w:tc>
        <w:tc>
          <w:tcPr>
            <w:tcW w:type="dxa" w:w="2000"/>
            <w:shd w:fill="1F3864" w:color="auto" w:val="clear"/>
            <w:tcMar>
              <w:top w:type="dxa" w:w="80"/>
              <w:left w:type="dxa" w:w="100"/>
              <w:bottom w:type="dxa" w:w="80"/>
              <w:right w:type="dxa" w:w="100"/>
            </w:tcMar>
            <w:vAlign w:val="center"/>
          </w:tcPr>
          <w:p>
            <w:r>
              <w:rPr>
                <w:b/>
                <w:bCs/>
                <w:color w:val="FFFFFF"/>
              </w:rPr>
              <w:t xml:space="preserve">Signature</w:t>
            </w:r>
          </w:p>
        </w:tc>
        <w:tc>
          <w:tcPr>
            <w:tcW w:type="dxa" w:w="2500"/>
            <w:shd w:fill="1F3864" w:color="auto" w:val="clear"/>
            <w:tcMar>
              <w:top w:type="dxa" w:w="80"/>
              <w:left w:type="dxa" w:w="100"/>
              <w:bottom w:type="dxa" w:w="80"/>
              <w:right w:type="dxa" w:w="100"/>
            </w:tcMar>
            <w:vAlign w:val="center"/>
          </w:tcPr>
          <w:p>
            <w:r>
              <w:rPr>
                <w:b/>
                <w:bCs/>
                <w:color w:val="FFFFFF"/>
              </w:rPr>
              <w:t xml:space="preserve">Date</w:t>
            </w:r>
          </w:p>
        </w:tc>
      </w:tr>
      <w:tr>
        <w:tc>
          <w:tcPr>
            <w:tcW w:type="dxa" w:w="3000"/>
            <w:tcMar>
              <w:top w:type="dxa" w:w="80"/>
              <w:left w:type="dxa" w:w="100"/>
              <w:bottom w:type="dxa" w:w="80"/>
              <w:right w:type="dxa" w:w="100"/>
            </w:tcMar>
            <w:vAlign w:val="center"/>
          </w:tcPr>
          <w:p>
            <w:r>
              <w:rPr>
                <w:b w:val="false"/>
                <w:bCs w:val="false"/>
              </w:rPr>
              <w:t xml:space="preserve">Prepared By — A. Mohanaradha</w:t>
            </w:r>
          </w:p>
        </w:tc>
        <w:tc>
          <w:tcPr>
            <w:tcW w:type="dxa" w:w="2246"/>
            <w:tcMar>
              <w:top w:type="dxa" w:w="80"/>
              <w:left w:type="dxa" w:w="100"/>
              <w:bottom w:type="dxa" w:w="80"/>
              <w:right w:type="dxa" w:w="100"/>
            </w:tcMar>
            <w:vAlign w:val="center"/>
          </w:tcPr>
          <w:p>
            <w:r>
              <w:rPr>
                <w:b w:val="false"/>
                <w:bCs w:val="false"/>
              </w:rPr>
              <w:t xml:space="preserve"/>
            </w:r>
          </w:p>
        </w:tc>
        <w:tc>
          <w:tcPr>
            <w:tcW w:type="dxa" w:w="2000"/>
            <w:tcMar>
              <w:top w:type="dxa" w:w="80"/>
              <w:left w:type="dxa" w:w="100"/>
              <w:bottom w:type="dxa" w:w="80"/>
              <w:right w:type="dxa" w:w="100"/>
            </w:tcMar>
            <w:vAlign w:val="center"/>
          </w:tcPr>
          <w:p>
            <w:r>
              <w:rPr>
                <w:b w:val="false"/>
                <w:bCs w:val="false"/>
              </w:rPr>
              <w:t xml:space="preserve"/>
            </w:r>
          </w:p>
        </w:tc>
        <w:tc>
          <w:tcPr>
            <w:tcW w:type="dxa" w:w="2500"/>
            <w:tcMar>
              <w:top w:type="dxa" w:w="80"/>
              <w:left w:type="dxa" w:w="100"/>
              <w:bottom w:type="dxa" w:w="80"/>
              <w:right w:type="dxa" w:w="100"/>
            </w:tcMar>
            <w:vAlign w:val="center"/>
          </w:tcPr>
          <w:p>
            <w:r>
              <w:rPr>
                <w:b w:val="false"/>
                <w:bCs w:val="false"/>
              </w:rPr>
              <w:t xml:space="preserve"/>
            </w:r>
          </w:p>
        </w:tc>
      </w:tr>
      <w:tr>
        <w:tc>
          <w:tcPr>
            <w:tcW w:type="dxa" w:w="3000"/>
            <w:shd w:fill="F2F2F2" w:color="auto" w:val="clear"/>
            <w:tcMar>
              <w:top w:type="dxa" w:w="80"/>
              <w:left w:type="dxa" w:w="100"/>
              <w:bottom w:type="dxa" w:w="80"/>
              <w:right w:type="dxa" w:w="100"/>
            </w:tcMar>
            <w:vAlign w:val="center"/>
          </w:tcPr>
          <w:p>
            <w:r>
              <w:rPr>
                <w:b w:val="false"/>
                <w:bCs w:val="false"/>
              </w:rPr>
              <w:t xml:space="preserve">Reviewed By (Technical Lead)</w:t>
            </w:r>
          </w:p>
        </w:tc>
        <w:tc>
          <w:tcPr>
            <w:tcW w:type="dxa" w:w="2246"/>
            <w:shd w:fill="F2F2F2" w:color="auto" w:val="clear"/>
            <w:tcMar>
              <w:top w:type="dxa" w:w="80"/>
              <w:left w:type="dxa" w:w="100"/>
              <w:bottom w:type="dxa" w:w="80"/>
              <w:right w:type="dxa" w:w="100"/>
            </w:tcMar>
            <w:vAlign w:val="center"/>
          </w:tcPr>
          <w:p>
            <w:r>
              <w:rPr>
                <w:b w:val="false"/>
                <w:bCs w:val="false"/>
              </w:rPr>
              <w:t xml:space="preserve"/>
            </w:r>
          </w:p>
        </w:tc>
        <w:tc>
          <w:tcPr>
            <w:tcW w:type="dxa" w:w="2000"/>
            <w:shd w:fill="F2F2F2" w:color="auto" w:val="clear"/>
            <w:tcMar>
              <w:top w:type="dxa" w:w="80"/>
              <w:left w:type="dxa" w:w="100"/>
              <w:bottom w:type="dxa" w:w="80"/>
              <w:right w:type="dxa" w:w="100"/>
            </w:tcMar>
            <w:vAlign w:val="center"/>
          </w:tcPr>
          <w:p>
            <w:r>
              <w:rPr>
                <w:b w:val="false"/>
                <w:bCs w:val="false"/>
              </w:rPr>
              <w:t xml:space="preserve"/>
            </w:r>
          </w:p>
        </w:tc>
        <w:tc>
          <w:tcPr>
            <w:tcW w:type="dxa" w:w="2500"/>
            <w:shd w:fill="F2F2F2" w:color="auto" w:val="clear"/>
            <w:tcMar>
              <w:top w:type="dxa" w:w="80"/>
              <w:left w:type="dxa" w:w="100"/>
              <w:bottom w:type="dxa" w:w="80"/>
              <w:right w:type="dxa" w:w="100"/>
            </w:tcMar>
            <w:vAlign w:val="center"/>
          </w:tcPr>
          <w:p>
            <w:r>
              <w:rPr>
                <w:b w:val="false"/>
                <w:bCs w:val="false"/>
              </w:rPr>
              <w:t xml:space="preserve"/>
            </w:r>
          </w:p>
        </w:tc>
      </w:tr>
      <w:tr>
        <w:tc>
          <w:tcPr>
            <w:tcW w:type="dxa" w:w="3000"/>
            <w:tcMar>
              <w:top w:type="dxa" w:w="80"/>
              <w:left w:type="dxa" w:w="100"/>
              <w:bottom w:type="dxa" w:w="80"/>
              <w:right w:type="dxa" w:w="100"/>
            </w:tcMar>
            <w:vAlign w:val="center"/>
          </w:tcPr>
          <w:p>
            <w:r>
              <w:rPr>
                <w:b w:val="false"/>
                <w:bCs w:val="false"/>
              </w:rPr>
              <w:t xml:space="preserve">Approved By (CEO / Director)</w:t>
            </w:r>
          </w:p>
        </w:tc>
        <w:tc>
          <w:tcPr>
            <w:tcW w:type="dxa" w:w="2246"/>
            <w:tcMar>
              <w:top w:type="dxa" w:w="80"/>
              <w:left w:type="dxa" w:w="100"/>
              <w:bottom w:type="dxa" w:w="80"/>
              <w:right w:type="dxa" w:w="100"/>
            </w:tcMar>
            <w:vAlign w:val="center"/>
          </w:tcPr>
          <w:p>
            <w:r>
              <w:rPr>
                <w:b w:val="false"/>
                <w:bCs w:val="false"/>
              </w:rPr>
              <w:t xml:space="preserve"/>
            </w:r>
          </w:p>
        </w:tc>
        <w:tc>
          <w:tcPr>
            <w:tcW w:type="dxa" w:w="2000"/>
            <w:tcMar>
              <w:top w:type="dxa" w:w="80"/>
              <w:left w:type="dxa" w:w="100"/>
              <w:bottom w:type="dxa" w:w="80"/>
              <w:right w:type="dxa" w:w="100"/>
            </w:tcMar>
            <w:vAlign w:val="center"/>
          </w:tcPr>
          <w:p>
            <w:r>
              <w:rPr>
                <w:b w:val="false"/>
                <w:bCs w:val="false"/>
              </w:rPr>
              <w:t xml:space="preserve"/>
            </w:r>
          </w:p>
        </w:tc>
        <w:tc>
          <w:tcPr>
            <w:tcW w:type="dxa" w:w="2500"/>
            <w:tcMar>
              <w:top w:type="dxa" w:w="80"/>
              <w:left w:type="dxa" w:w="100"/>
              <w:bottom w:type="dxa" w:w="80"/>
              <w:right w:type="dxa" w:w="100"/>
            </w:tcMar>
            <w:vAlign w:val="center"/>
          </w:tcPr>
          <w:p>
            <w:r>
              <w:rPr>
                <w:b w:val="false"/>
                <w:bCs w:val="false"/>
              </w:rPr>
              <w:t xml:space="preserve"/>
            </w:r>
          </w:p>
        </w:tc>
      </w:tr>
    </w:tbl>
    <w:p>
      <w:r>
        <w:br w:type="page"/>
      </w:r>
    </w:p>
    <w:p>
      <w:pPr>
        <w:spacing w:after="200"/>
      </w:pPr>
      <w:r>
        <w:t xml:space="preserve">Flow Chart</w:t>
      </w:r>
    </w:p>
    <w:p>
      <w:pPr>
        <w:jc w:val="center"/>
      </w:pPr>
      <w:r>
        <w:drawing>
          <wp:inline distT="0" distB="0" distL="0" distR="0">
            <wp:extent cx="5476875" cy="8191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476875" cy="8191500"/>
                    </a:xfrm>
                    <a:prstGeom prst="rect">
                      <a:avLst/>
                    </a:prstGeom>
                  </pic:spPr>
                </pic:pic>
              </a:graphicData>
            </a:graphic>
          </wp:inline>
        </w:drawing>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Page </w:t>
    </w:r>
    <w:r>
      <w:rPr>
        <w:color w:val="888888"/>
        <w:sz w:val="18"/>
        <w:szCs w:val="18"/>
      </w:rPr>
      <w:fldChar w:fldCharType="begin"/>
      <w:instrText xml:space="preserve">PAGE</w:instrText>
      <w:fldChar w:fldCharType="separate"/>
      <w:fldChar w:fldCharType="end"/>
    </w:r>
    <w:r>
      <w:rPr>
        <w:color w:val="888888"/>
        <w:sz w:val="18"/>
        <w:szCs w:val="18"/>
      </w:rPr>
      <w:t xml:space="preserve"> of </w:t>
    </w:r>
    <w:r>
      <w:rPr>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Infoziant — AMR Coordinator Portal | Module 06: Reports &amp; Analytics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1F3864"/>
      <w:sz w:val="30"/>
      <w:szCs w:val="30"/>
    </w:rPr>
  </w:style>
  <w:style w:type="paragraph" w:styleId="Heading2">
    <w:name w:val="Heading 2"/>
    <w:basedOn w:val="Normal"/>
    <w:next w:val="Normal"/>
    <w:qFormat/>
    <w:pPr>
      <w:spacing w:after="120" w:before="200"/>
      <w:outlineLvl w:val="1"/>
    </w:pPr>
    <w:rPr>
      <w:rFonts w:ascii="Calibri" w:cs="Calibri" w:eastAsia="Calibri" w:hAnsi="Calibri"/>
      <w:b/>
      <w:bCs/>
      <w:color w:val="0F6E6E"/>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2f3cb9565f216e617d6e428ebe157a776363f8e.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2026-07-24T10:57:58.968Z</dcterms:created>
  <dcterms:modified xsi:type="dcterms:W3CDTF">2026-07-24T10:57:58.984Z</dcterms:modified>
</cp:coreProperties>
</file>

<file path=docProps/custom.xml><?xml version="1.0" encoding="utf-8"?>
<Properties xmlns="http://schemas.openxmlformats.org/officeDocument/2006/custom-properties" xmlns:vt="http://schemas.openxmlformats.org/officeDocument/2006/docPropsVTypes"/>
</file>