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4890"/>
          <w:sz w:val="52"/>
          <w:szCs w:val="52"/>
        </w:rPr>
        <w:t xml:space="preserve">PRODUCT UX AUDIT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Ten-Phase UX Audit Pipeline</w:t>
      </w:r>
    </w:p>
    <w:p>
      <w:pPr>
        <w:pBdr>
          <w:top w:val="single" w:color="004890" w:sz="6" w:space="1"/>
        </w:pBdr>
        <w:spacing w:before="4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Category: Workflows · Design  |  Rating: ★★★★☆ (8/10)  |  Status: Curated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TBK Labs · 2026-04-14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Replaces single-pass auditing with a ten-phase pipeline that fixes three failure modes: miscalibration (product type determines severity), shallow discovery (four parallel Explore agents), and missing “so what” (Day-1/7/30 retention narrative). Output: dated ux-audit-YYYY-MM-DD.md + house-style .docx + retention narrative + optional Phase 10 implementation.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Codebase with git history (for Phase 2 grep-verification)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Access to domain logic, schema, components, and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 type classification (functional axis, vertical, commercial state, three peer references)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Willing to invest 2–4 hours (full app) to complete the full audit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Why It Earns the Curated Bar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standalone product-ux-review skill produces heuristic findings in a single pass. That is useful for a 5-page app and actively misleading for anything larger. The workflow wraps the skill in a 10-phase pipeline that fixes the three failure modes the single-pass approach keeps repeating: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Miscalibration. Without a product-type classification, a strategy platform gets graded as if it were an execution platform. Phase 0 is a hard gate that refuses to proceed until the product is typed and three peers are named.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Shallow discovery. A single reader cannot hold routes, components, forms, domain logic, schema, and business model at once. Phase 1 forces at least four parallel Explore agents, and Phase 2 grep-verifies every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Missing the “so what.” A findings table does not tell an exec whether a paying customer will churn by day 7. Phase 6 writes a Day-1/7/30 retention narrative with named churn risks, fixes, and cost estimates.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workflow is dual-skilled by design. Phase 5a runs product-ux-review for the UX spine. Phase 5b runs meta-design for the craft spine. Both ship together or neither ships.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v2.2 adds Dimension 17 — Journey-Level Boundary Audit, which traces user journeys across every system boundary. This catches implicit data contracts, race conditions at handoff points, and state that leaks at boundary crossings.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finding is tagged against theory-bank.md, so severities trace back to cited law or heuristic. A P0 that does not name its governing principle is rejected in Phase 7.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Severity Formula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P0/P1/P2 label must be justified against this formula. No “feels like a P0” findings ship.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 score = F × I × P × R</w:t>
      </w:r>
      <w:r>
        <w:rPr>
          <w:rFonts w:ascii="Arial" w:cs="Arial" w:eastAsia="Arial" w:hAnsi="Arial"/>
          <w:sz w:val="20"/>
          <w:szCs w:val="20"/>
        </w:rPr>
        <w:t xml:space="preserve">, where each factor is 1–5: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 — Frequency. How often does the user hit this? 1 = once per account lifetime; 5 = every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 — Impact. What breaks when they hit it? 1 = cosmetic annoyance; 5 = blocks the promised first-value moment.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 — Persistence. Does the user route around it? 1 = learned workaround in one try; 5 = friction every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 — Reversibility. Can the user recover? 1 = trivial to recover; 5 = data loss, lost trust, or churn-triggering.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Mapping to Severity Buckets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 ≥ 48 and blocks the promised first-value moment and a named peer ships the correct behavior. If any condition fails, downgrade.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 = 24–47, or anything that erodes day-7 retention without blocking first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P2 &lt; 24, polish and debt. Ship in batches, never as headline findings.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0 override: </w:t>
      </w:r>
      <w:r>
        <w:rPr>
          <w:rFonts w:ascii="Arial" w:cs="Arial" w:eastAsia="Arial" w:hAnsi="Arial"/>
          <w:sz w:val="20"/>
          <w:szCs w:val="20"/>
        </w:rPr>
        <w:t xml:space="preserve">A finding cannot be P0 if it targets a capability the product does not promise.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Theory-Bank Integration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theory-bank.md (co-located in this folder) is the single source of truth for every law, heuristic, and framework an audit cites.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 P0 and P1 finding MUST carry at least one theory-bank tag in its footer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Tag citation format: [tag] at the end of the finding’s fix line — e.g. [fitts, hick].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no tag fits, the finding is either not a UX finding, or evidence the theory bank needs a new entry. Both escalate.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7 verification pass grep-checks every citation against theory-bank.md tag list. Unknown tags are rejected.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Phase 0 — Product Type Classification (HARD GATE)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Declare product dimensions and calibration anchors before reading any code.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Axis A (Planning, Execution, Measurement, Hybrid, Collaboration,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Axis B (vertical: paid ads, analytics, CRM, support, fintech, e-commerce,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commercial state (pre-revenue, beta, paid, enterprise)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Name THREE peer references (P0 calibration anchors)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 sentence: “This product promises [X]” + “It explicitly does not promise [Y]”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Gate: </w:t>
      </w:r>
      <w:r>
        <w:rPr>
          <w:rFonts w:ascii="Arial" w:cs="Arial" w:eastAsia="Arial" w:hAnsi="Arial"/>
          <w:sz w:val="20"/>
          <w:szCs w:val="20"/>
        </w:rPr>
        <w:t xml:space="preserve">Must have all five elements in writing before proceeding to Phase 1.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Phase 0 block in audit document with clear classification.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Phase 1 — Parallel Discovery (HARD GATE)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Capture orthogonal views of the codebase in parallel (not serial).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Dispatch FOUR agents in a SINGLE message on orthogonal lenses: Routes/IA/Navigation; Components/Tokens/CSS; Forms/Mobile/Accessibility; Domain UX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agent cites file:line and classifies as Missing / Broken / Exists-but-Not-Wired with P0/P1/P2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 receipts — visible four distinct agent invocations in conversation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Gate: </w:t>
      </w:r>
      <w:r>
        <w:rPr>
          <w:rFonts w:ascii="Arial" w:cs="Arial" w:eastAsia="Arial" w:hAnsi="Arial"/>
          <w:sz w:val="20"/>
          <w:szCs w:val="20"/>
        </w:rPr>
        <w:t xml:space="preserve">Must see four distinct agent invocations; “I would have run them” does not count.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Four discovery reports (one per agent) with file:line citations.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Phase 2 — Grep Verification (HARD GATE)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Verify every count, path, and line number agents reported before drafting findings.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count, path, and line number any agent reported, grep-verify from actual codebase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verified numbers, not agent numbers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agent reported “0 imports,” grep first before believing it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corrections in “Corrections to Agent Drift” section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Gate: </w:t>
      </w:r>
      <w:r>
        <w:rPr>
          <w:rFonts w:ascii="Arial" w:cs="Arial" w:eastAsia="Arial" w:hAnsi="Arial"/>
          <w:sz w:val="20"/>
          <w:szCs w:val="20"/>
        </w:rPr>
        <w:t xml:space="preserve">Must have zero-drift report or documented drift corrections.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Verified findings table with agent drift corrections documented.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Phase 3 — Schema-vs-UI Parity Protocol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Enumerate every database column and compare to UI layer.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Extract all Drizzle/Prisma/SQL columns and enums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Grep each column against UI layer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Classify as: Read-and-displayed, Read-but-buried, or Never-read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Dead schema is always a finding (severity depends on Phase 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Gate: </w:t>
      </w:r>
      <w:r>
        <w:rPr>
          <w:rFonts w:ascii="Arial" w:cs="Arial" w:eastAsia="Arial" w:hAnsi="Arial"/>
          <w:sz w:val="20"/>
          <w:szCs w:val="20"/>
        </w:rPr>
        <w:t xml:space="preserve">Schema parity table complete.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Schema parity table with read status per column.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Phase 4 — Domain Playbook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Grade each stage of the canonical loop for the product’s vertical.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playbook for Axis B: paid ads, analytics, CRM, support, fintech, e-commerce, dev tools, or measurement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Grade each stage: Present / Partial / Stub / Missing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Missing stages become findings, severity calibrated to Phase 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Gate: </w:t>
      </w:r>
      <w:r>
        <w:rPr>
          <w:rFonts w:ascii="Arial" w:cs="Arial" w:eastAsia="Arial" w:hAnsi="Arial"/>
          <w:sz w:val="20"/>
          <w:szCs w:val="20"/>
        </w:rPr>
        <w:t xml:space="preserve">Domain playbook audit complete.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Domain playbook audit with stage status.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Phase 5 — Dual-Skill Review (HARD GATE)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Run both UX spine and UI/craft spine on same findings.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5a: Run product-ux-review skill (16 dimensions: flows, heuristics, data utilization, discoverability, empty/error/loading states, retention machinery)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5b: Run meta-design skill (tokens, typography, hierarchy, contrast, motion, responsive)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Tag each with LENS column (P for product-ux-review, M for meta-design, or both)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Merge both into single findings table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Gate: </w:t>
      </w:r>
      <w:r>
        <w:rPr>
          <w:rFonts w:ascii="Arial" w:cs="Arial" w:eastAsia="Arial" w:hAnsi="Arial"/>
          <w:sz w:val="20"/>
          <w:szCs w:val="20"/>
        </w:rPr>
        <w:t xml:space="preserve">Both skills must be run; UX without UI or UI without UX = half-audit.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Merged findings table with dual-skill provenance tagged.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Phase 6 — Retention Narrative (Executive Summary)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Write three prose sections for non-engineer executive (5-minute read).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Day 1 — First-session first-value: Walk happy path from landing to promised value. Name what works and what blunts it.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Day 7 — Three churn risks: Name exactly three gaps causing paying customer to cancel. Each gets user story, finding #, minimum-viable fix, cost estimate in eng-days.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Day 30 — Power-user pull: What keeps power user coming back? What value accumulates? What retention machinery exists but is invisible?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Gate: </w:t>
      </w:r>
      <w:r>
        <w:rPr>
          <w:rFonts w:ascii="Arial" w:cs="Arial" w:eastAsia="Arial" w:hAnsi="Arial"/>
          <w:sz w:val="20"/>
          <w:szCs w:val="20"/>
        </w:rPr>
        <w:t xml:space="preserve">Must have three specific Day-7 risks with fixes and costs (no hedging).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Three prose sections (Day 1, 7, 30 narrative).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Phase 7 — Verification Pass (HARD GATE)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Re-read entire audit with hard checklist.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 P0 has a theory-bank.md tag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 P0 has a Phase 0 peer comparison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 P0 has a F×I×P×R score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 P0 is defensible against what product actually promises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 file+line citation has been re-grepped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 narrative names three specific Day-7 risks with fixes and costs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Both Phase 5 skills run and merged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theory-bank tags are valid entries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Gate: </w:t>
      </w:r>
      <w:r>
        <w:rPr>
          <w:rFonts w:ascii="Arial" w:cs="Arial" w:eastAsia="Arial" w:hAnsi="Arial"/>
          <w:sz w:val="20"/>
          <w:szCs w:val="20"/>
        </w:rPr>
        <w:t xml:space="preserve">Downgrade anything that fails; delete anything that can’t be rescued.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Verified audit document with all gates confirmed.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Phase 8 — Corrections to Prior Audit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If prior audit exists, surface what changed.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prior ux-audit-*.md exists, open new report with “Corrections to Prior Audit” section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List: wrong counts, components claimed dead but wired, miscalibrated findings, gaps prior audit missed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Archive prior audit before overwriting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Gate: </w:t>
      </w:r>
      <w:r>
        <w:rPr>
          <w:rFonts w:ascii="Arial" w:cs="Arial" w:eastAsia="Arial" w:hAnsi="Arial"/>
          <w:sz w:val="20"/>
          <w:szCs w:val="20"/>
        </w:rPr>
        <w:t xml:space="preserve">Corrections section complete.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Corrections section documenting prior audit learnings.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Phase 9 — Deliver (HARD GATE)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Save audit and .docx companion, deliver to user.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as audits/ux-audit-YYYY-MM-DD.md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.docx companion in TBK Labs house style (World Rally Blue #004890, Arial, Heading overrides, dated footer)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Summarize three Day-7 churn risks in chat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both file paths as clickable links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STOP here unless user explicitly says “fix all” / “implement” / “apply”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Gate: </w:t>
      </w:r>
      <w:r>
        <w:rPr>
          <w:rFonts w:ascii="Arial" w:cs="Arial" w:eastAsia="Arial" w:hAnsi="Arial"/>
          <w:sz w:val="20"/>
          <w:szCs w:val="20"/>
        </w:rPr>
        <w:t xml:space="preserve">Both .md and .docx must exist and be verified on disk before marking complete.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audits/ux-audit-YYYY-MM-DD.md + .docx + chat summary.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Phase 10 — Implementation (Conditional)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Implement all findings systematically if user explicitly requests.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10a Preflight: git status (tree must be clean), re-read audit from disk, tsc --noEmit (baseline)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10b Cluster by type: Group by change kind (ARIA, hex-token, skeleton, payload, button-state, dead-code, schema-coupled)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10c Parallel implementation: Issue Edit calls per cluster in single message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10d Typecheck between clusters: After each cluster, tsc --noEmit; block next if baseline regressed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10e Single commit: git add with explicit paths (never -A), commit once, push, append Implementation Summary to audit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Gate: </w:t>
      </w:r>
      <w:r>
        <w:rPr>
          <w:rFonts w:ascii="Arial" w:cs="Arial" w:eastAsia="Arial" w:hAnsi="Arial"/>
          <w:sz w:val="20"/>
          <w:szCs w:val="20"/>
        </w:rPr>
        <w:t xml:space="preserve">Phase 10 only fires on explicit “fix all” signal; preflight and per-cluster typecheck must pass.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Single fix: commit with implementation summary appended to audit.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Hard Gates Summary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0 gate: Product type, three peers, promises/non-promises in writing before Phase 1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 gate (rule D1): Four visible agent invocations in single dispatch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 gate (rule D2): Grep-verify every count before drafting findings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 gate: Both product-ux-review and meta-design run (never one without the other)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7 gate: Every P0 has theory-bank tag, peer comparison, and F×I×P×R score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Delivery gate: Both .md and .docx generated; prior audit archived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10 preflight gate: Clean tree, re-read from disk, baseline typecheck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10 per-cluster typecheck gate: tsc passes after each cluster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What NOT to Do</w:t>
      </w:r>
    </w:p>
    <w:p>
      <w:pPr>
        <w:pStyle w:val="ListParagraph"/>
        <w:numPr>
          <w:ilvl w:val="0"/>
          <w:numId w:val="15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Don’t skip Phase 0. </w:t>
      </w:r>
      <w:r>
        <w:rPr>
          <w:rFonts w:ascii="Arial" w:cs="Arial" w:eastAsia="Arial" w:hAnsi="Arial"/>
          <w:sz w:val="20"/>
          <w:szCs w:val="20"/>
        </w:rPr>
        <w:t xml:space="preserve">Miscalibration (treating execution platform as strategy platform) is the most expensive mistake.</w:t>
      </w:r>
    </w:p>
    <w:p>
      <w:pPr>
        <w:pStyle w:val="ListParagraph"/>
        <w:numPr>
          <w:ilvl w:val="0"/>
          <w:numId w:val="15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Don’t run discovery single-threaded. </w:t>
      </w:r>
      <w:r>
        <w:rPr>
          <w:rFonts w:ascii="Arial" w:cs="Arial" w:eastAsia="Arial" w:hAnsi="Arial"/>
          <w:sz w:val="20"/>
          <w:szCs w:val="20"/>
        </w:rPr>
        <w:t xml:space="preserve">Rule D1 requires four parallel agents in one dispatch.</w:t>
      </w:r>
    </w:p>
    <w:p>
      <w:pPr>
        <w:pStyle w:val="ListParagraph"/>
        <w:numPr>
          <w:ilvl w:val="0"/>
          <w:numId w:val="15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Don’t trust agent counts. </w:t>
      </w:r>
      <w:r>
        <w:rPr>
          <w:rFonts w:ascii="Arial" w:cs="Arial" w:eastAsia="Arial" w:hAnsi="Arial"/>
          <w:sz w:val="20"/>
          <w:szCs w:val="20"/>
        </w:rPr>
        <w:t xml:space="preserve">Rule D2 is mandatory; log every drift in “Corrections to Agent Drift.”</w:t>
      </w:r>
    </w:p>
    <w:p>
      <w:pPr>
        <w:pStyle w:val="ListParagraph"/>
        <w:numPr>
          <w:ilvl w:val="0"/>
          <w:numId w:val="15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Don’t run only one Phase 5 skill. </w:t>
      </w:r>
      <w:r>
        <w:rPr>
          <w:rFonts w:ascii="Arial" w:cs="Arial" w:eastAsia="Arial" w:hAnsi="Arial"/>
          <w:sz w:val="20"/>
          <w:szCs w:val="20"/>
        </w:rPr>
        <w:t xml:space="preserve">UX without UI ships a half-audit; UI without UX ships a brochure.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Chain Dispatch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8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8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quality-gate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(after Phase 9 delivery)</w:t>
            </w:r>
          </w:p>
        </w:tc>
      </w:tr>
    </w:tbl>
    <w:p>
      <w:pPr>
        <w:spacing w:before="3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890"/>
          <w:sz w:val="32"/>
          <w:szCs w:val="32"/>
        </w:rPr>
        <w:t xml:space="preserve">Usage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Invoke with /product-ux-audit or describe the product and what you want audited. Provide business context (Axis A, B, state, peers) in the first message for fastest setup.</w:t>
      </w:r>
    </w:p>
    <w:p>
      <w:pPr>
        <w:spacing w:before="600"/>
      </w:pPr>
    </w:p>
    <w:p>
      <w:pPr>
        <w:pBdr>
          <w:top w:val="single" w:color="004890" w:sz="6" w:space="1"/>
        </w:pBd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TBK Labs · Curated Workflow · 2026-04-14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890" w:sz="6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890" w:sz="6" w:space="1"/>
      </w:pBdr>
    </w:pPr>
    <w:r>
      <w:rPr>
        <w:rFonts w:ascii="Arial" w:cs="Arial" w:eastAsia="Arial" w:hAnsi="Arial"/>
        <w:b/>
        <w:bCs/>
        <w:color w:val="004890"/>
        <w:sz w:val="18"/>
        <w:szCs w:val="18"/>
      </w:rPr>
      <w:t xml:space="preserve">TBK Labs</w:t>
    </w:r>
    <w:r>
      <w:rPr>
        <w:rFonts w:ascii="Arial" w:cs="Arial" w:eastAsia="Arial" w:hAnsi="Arial"/>
        <w:color w:val="666666"/>
        <w:sz w:val="18"/>
        <w:szCs w:val="18"/>
      </w:rPr>
      <w:t xml:space="preserve">  |  Product UX Audit  |  Curated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48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48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2026-04-14T18:06:37.245Z</dcterms:created>
  <dcterms:modified xsi:type="dcterms:W3CDTF">2026-04-14T18:06:37.249Z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