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accessibility-tests"/>
      <w:r>
        <w:t xml:space="preserve">Accessibility Tests</w:t>
      </w:r>
      <w:bookmarkEnd w:id="20"/>
    </w:p>
    <w:p>
      <w:pPr>
        <w:pStyle w:val="FirstParagraph"/>
      </w:pPr>
      <w:r>
        <w:rPr>
          <w:i/>
        </w:rPr>
        <w:t xml:space="preserve">Accessibility (a11y) testing verifies that your application can be used by people with disabilities — including those who navigate with k.</w:t>
      </w:r>
    </w:p>
    <w:p>
      <w:pPr>
        <w:pStyle w:val="BodyText"/>
      </w:pPr>
      <w:r>
        <w:rPr>
          <w:b/>
        </w:rPr>
        <w:t xml:space="preserve">CATEGORY</w:t>
      </w:r>
      <w:r>
        <w:t xml:space="preserve"> </w:t>
      </w:r>
      <w:r>
        <w:t xml:space="preserve">Skills · Test •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Curated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it-earns-the-curated-bar"/>
      <w:r>
        <w:t xml:space="preserve">Why It Earns the Curated Bar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Structures the topic into 7 concrete sections — What It Is, What It Catches, When It’s Required — rather than treating it as one undifferentiated topic. Each section names the scenario it covers.</w:t>
      </w:r>
    </w:p>
    <w:p>
      <w:pPr>
        <w:numPr>
          <w:ilvl w:val="0"/>
          <w:numId w:val="1001"/>
        </w:numPr>
        <w:pStyle w:val="Compact"/>
      </w:pPr>
      <w:r>
        <w:t xml:space="preserve">Specifically covers LoginForm, Accessibility, Automated, Keyboard with named patterns and concrete trade-offs. Generic guidance on test doesn’t reach this depth.</w:t>
      </w:r>
    </w:p>
    <w:p>
      <w:pPr>
        <w:numPr>
          <w:ilvl w:val="0"/>
          <w:numId w:val="1001"/>
        </w:numPr>
        <w:pStyle w:val="Compact"/>
      </w:pPr>
      <w:r>
        <w:t xml:space="preserve">11 code-block examples grounded in real implementation, not pseudocode. The examples are runnable starting points, not aspirational diagrams.</w:t>
      </w:r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pStyle w:val="FirstParagraph"/>
      </w:pPr>
      <w:r>
        <w:t xml:space="preserve">accessibility-tests — accessibility (a11y) testing verifies that your application can be used by people with disabilities — including those who navigate with keyboards, use screen readers, have low vision, experience color blindness, or have motor impairments that prevent precise mouse use. Automated tools like axe-core catch approximately 30-40% of WCAG violations (missing alt text, insufficient contrast, missing form labels, broken ARIA). The remaining 60-70% requires manual and semi-automated testing: keyboard navigation flows, screen reader announcements, focus management in dynamic UI (modals, dropdowns, toast notifications), and reading order verification. A robust a11y testing strategy layers automated scanning (fast, catches the obvious) with targeted manual testing (slow, catches the subtle) and runs both in CI and during development.</w:t>
      </w:r>
      <w:r>
        <w:t xml:space="preserve"> </w:t>
      </w:r>
      <w:r>
        <w:t xml:space="preserve">The operational file is organized as 7 sections covering What It Is, What It Catches, When It’s Required, Setup Guide, Template, Common Pitfalls, and others. Each section is keyed to a specific scenario rather than abstract framing.</w:t>
      </w:r>
      <w:r>
        <w:t xml:space="preserve"> </w:t>
      </w:r>
      <w:r>
        <w:t xml:space="preserve">Concrete artifacts: 11 code examples, 10 comparison tables. The artifacts are the value — copy them, modify for your project, commit.</w:t>
      </w:r>
    </w:p>
    <w:p>
      <w:pPr>
        <w:pStyle w:val="Heading2"/>
      </w:pPr>
      <w:bookmarkStart w:id="23" w:name="how-to-use"/>
      <w:r>
        <w:t xml:space="preserve">How to Use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Read the operational file end-to-end before applying. The skill assumes you have the structure in mind, not just the surface.</w:t>
      </w:r>
    </w:p>
    <w:p>
      <w:pPr>
        <w:numPr>
          <w:ilvl w:val="0"/>
          <w:numId w:val="1002"/>
        </w:numPr>
        <w:pStyle w:val="Compact"/>
      </w:pPr>
      <w:r>
        <w:t xml:space="preserve">Identify which section matches your current scenario. What It Is is the entry point for most use cases.</w:t>
      </w:r>
    </w:p>
    <w:p>
      <w:pPr>
        <w:numPr>
          <w:ilvl w:val="0"/>
          <w:numId w:val="1002"/>
        </w:numPr>
        <w:pStyle w:val="Compact"/>
      </w:pPr>
      <w:r>
        <w:t xml:space="preserve">Apply the patterns committed to in the operational file. Diverging from them produces inconsistent artifacts that drift over time.</w:t>
      </w:r>
    </w:p>
    <w:p>
      <w:pPr>
        <w:numPr>
          <w:ilvl w:val="0"/>
          <w:numId w:val="1002"/>
        </w:numPr>
        <w:pStyle w:val="Compact"/>
      </w:pPr>
      <w:r>
        <w:t xml:space="preserve">Re-read on every meaningful change in this domain. Reference primitives stay valuable only when they’re consulted at the moment of decision.</w:t>
      </w:r>
    </w:p>
    <w:p>
      <w:pPr>
        <w:pStyle w:val="Heading2"/>
      </w:pPr>
      <w:bookmarkStart w:id="24" w:name="what-not-to-do"/>
      <w:r>
        <w:t xml:space="preserve">What NOT to Do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Don’t apply this skill’s patterns without reading the operational file. Surface-level application produces shallow output.</w:t>
      </w:r>
    </w:p>
    <w:p>
      <w:pPr>
        <w:numPr>
          <w:ilvl w:val="0"/>
          <w:numId w:val="1003"/>
        </w:numPr>
        <w:pStyle w:val="Compact"/>
      </w:pPr>
      <w:r>
        <w:t xml:space="preserve">Don’t merge What It Is with the other sections — they exist as separate sections because they require separate decisions.</w:t>
      </w:r>
    </w:p>
    <w:p>
      <w:pPr>
        <w:pStyle w:val="Heading2"/>
      </w:pPr>
      <w:bookmarkStart w:id="25" w:name="quick-reference"/>
      <w:r>
        <w:t xml:space="preserve">Quick Reference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 name</w:t>
            </w:r>
          </w:p>
        </w:tc>
        <w:tc>
          <w:p>
            <w:pPr>
              <w:pStyle w:val="Compact"/>
              <w:jc w:val="left"/>
            </w:pPr>
            <w:r>
              <w:t xml:space="preserve">accessibility-tests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Skills ·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accessibility-tests.docx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 · 2026-04-26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operational-file-skill.md"/>
      <w:r>
        <w:t xml:space="preserve">Operational File: SKILL.md</w:t>
      </w:r>
      <w:bookmarkEnd w:id="26"/>
    </w:p>
    <w:p>
      <w:pPr>
        <w:pStyle w:val="Heading1"/>
      </w:pPr>
      <w:bookmarkStart w:id="27" w:name="accessibility-tests-1"/>
      <w:r>
        <w:t xml:space="preserve">Accessibility Tests</w:t>
      </w:r>
      <w:bookmarkEnd w:id="27"/>
    </w:p>
    <w:p>
      <w:pPr>
        <w:pStyle w:val="Heading2"/>
      </w:pPr>
      <w:bookmarkStart w:id="28" w:name="what-it-is"/>
      <w:r>
        <w:t xml:space="preserve">What It Is</w:t>
      </w:r>
      <w:bookmarkEnd w:id="28"/>
    </w:p>
    <w:p>
      <w:pPr>
        <w:pStyle w:val="FirstParagraph"/>
      </w:pPr>
      <w:r>
        <w:t xml:space="preserve">Accessibility (a11y) testing verifies that your application can be used by people with disabilities — including those who navigate with keyboards, use screen readers, have low vision, experience color blindness, or have motor impairments that prevent precise mouse use. Automated tools like axe-core catch approximately 30-40% of WCAG violations (missing alt text, insufficient contrast, missing form labels, broken ARIA). The remaining 60-70% requires manual and semi-automated testing: keyboard navigation flows, screen reader announcements, focus management in dynamic UI (modals, dropdowns, toast notifications), and reading order verification. A robust a11y testing strategy layers automated scanning (fast, catches the obvious) with targeted manual testing (slow, catches the subtle) and runs both in CI and during development.</w:t>
      </w:r>
    </w:p>
    <w:p>
      <w:pPr>
        <w:pStyle w:val="Heading2"/>
      </w:pPr>
      <w:bookmarkStart w:id="29" w:name="what-it-catches"/>
      <w:r>
        <w:t xml:space="preserve">What It Catches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Missing form labels</w:t>
      </w:r>
      <w:r>
        <w:t xml:space="preserve"> </w:t>
      </w:r>
      <w:r>
        <w:t xml:space="preserve">— an input has a placeholder but no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element or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, so screen readers announce it as</w:t>
      </w:r>
      <w:r>
        <w:t xml:space="preserve"> </w:t>
      </w:r>
      <w:r>
        <w:t xml:space="preserve">“</w:t>
      </w:r>
      <w:r>
        <w:t xml:space="preserve">edit text</w:t>
      </w:r>
      <w:r>
        <w:t xml:space="preserve">”</w:t>
      </w:r>
      <w:r>
        <w:t xml:space="preserve"> </w:t>
      </w:r>
      <w:r>
        <w:t xml:space="preserve">with no context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Insufficient color contrast</w:t>
      </w:r>
      <w:r>
        <w:t xml:space="preserve"> </w:t>
      </w:r>
      <w:r>
        <w:t xml:space="preserve">— text at 3.5:1 ratio on a light gray background fails WCAG AA (requires 4.5:1 for normal text, 3:1 for large text)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Keyboard traps</w:t>
      </w:r>
      <w:r>
        <w:t xml:space="preserve"> </w:t>
      </w:r>
      <w:r>
        <w:t xml:space="preserve">— user Tabs into a modal or custom dropdown and cannot Tab out because focus is not managed, requiring a mouse click to escape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Missing alt text on images</w:t>
      </w:r>
      <w:r>
        <w:t xml:space="preserve"> </w:t>
      </w:r>
      <w:r>
        <w:t xml:space="preserve">— decorative images that should have</w:t>
      </w:r>
      <w:r>
        <w:t xml:space="preserve"> </w:t>
      </w:r>
      <w:r>
        <w:rPr>
          <w:rStyle w:val="VerbatimChar"/>
        </w:rPr>
        <w:t xml:space="preserve">alt=""</w:t>
      </w:r>
      <w:r>
        <w:t xml:space="preserve"> </w:t>
      </w:r>
      <w:r>
        <w:t xml:space="preserve">have no alt attribute at all, causing screen readers to announce the filename (</w:t>
      </w:r>
      <w:r>
        <w:t xml:space="preserve">“</w:t>
      </w:r>
      <w:r>
        <w:t xml:space="preserve">DSC_0847.jpg</w:t>
      </w:r>
      <w:r>
        <w:t xml:space="preserve">”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Broken ARIA patterns</w:t>
      </w:r>
      <w:r>
        <w:t xml:space="preserve"> </w:t>
      </w:r>
      <w:r>
        <w:t xml:space="preserve">— a custom select uses</w:t>
      </w:r>
      <w:r>
        <w:t xml:space="preserve"> </w:t>
      </w:r>
      <w:r>
        <w:rPr>
          <w:rStyle w:val="VerbatimChar"/>
        </w:rPr>
        <w:t xml:space="preserve">role="listbox"</w:t>
      </w:r>
      <w:r>
        <w:t xml:space="preserve"> </w:t>
      </w:r>
      <w:r>
        <w:t xml:space="preserve">but doesn’t implement</w:t>
      </w:r>
      <w:r>
        <w:t xml:space="preserve"> </w:t>
      </w:r>
      <w:r>
        <w:rPr>
          <w:rStyle w:val="VerbatimChar"/>
        </w:rPr>
        <w:t xml:space="preserve">aria-activedescendant</w:t>
      </w:r>
      <w:r>
        <w:t xml:space="preserve"> </w:t>
      </w:r>
      <w:r>
        <w:t xml:space="preserve">or arrow key navigation, making it unusable for keyboard users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Focus not moved after navigation</w:t>
      </w:r>
      <w:r>
        <w:t xml:space="preserve"> </w:t>
      </w:r>
      <w:r>
        <w:t xml:space="preserve">— SPA route change renders new content but focus stays at the top of the page (or worse, on a now-invisible element), leaving screen reader users lost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Dynamic content not announced</w:t>
      </w:r>
      <w:r>
        <w:t xml:space="preserve"> </w:t>
      </w:r>
      <w:r>
        <w:t xml:space="preserve">— a toast notification appears visually but has no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region, so screen readers never announce it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Touch targets too small</w:t>
      </w:r>
      <w:r>
        <w:t xml:space="preserve"> </w:t>
      </w:r>
      <w:r>
        <w:t xml:space="preserve">— buttons are 24x24px instead of the 44x44px minimum, causing misclicks for users with motor impairments</w:t>
      </w:r>
    </w:p>
    <w:p>
      <w:pPr>
        <w:pStyle w:val="Heading2"/>
      </w:pPr>
      <w:bookmarkStart w:id="30" w:name="when-its-required"/>
      <w:r>
        <w:t xml:space="preserve">When It’s Required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The feature has a user interface (C4) — every UI needs baseline a11y testing</w:t>
      </w:r>
    </w:p>
    <w:p>
      <w:pPr>
        <w:numPr>
          <w:ilvl w:val="0"/>
          <w:numId w:val="1005"/>
        </w:numPr>
        <w:pStyle w:val="Compact"/>
      </w:pPr>
      <w:r>
        <w:t xml:space="preserve">The feature involves user input (C5) — forms are the highest-risk area for a11y violations</w:t>
      </w:r>
    </w:p>
    <w:p>
      <w:pPr>
        <w:numPr>
          <w:ilvl w:val="0"/>
          <w:numId w:val="1005"/>
        </w:numPr>
        <w:pStyle w:val="Compact"/>
      </w:pPr>
      <w:r>
        <w:t xml:space="preserve">The feature is user-facing (C14) — public-facing features have legal compliance requirements (ADA, Section 508, EAA)</w:t>
      </w:r>
    </w:p>
    <w:p>
      <w:pPr>
        <w:numPr>
          <w:ilvl w:val="0"/>
          <w:numId w:val="1005"/>
        </w:numPr>
        <w:pStyle w:val="Compact"/>
      </w:pPr>
      <w:r>
        <w:t xml:space="preserve">Any project that will be used by government agencies, healthcare organizations, education institutions, or large enterprises (contractual WCAG compliance requirements)</w:t>
      </w:r>
    </w:p>
    <w:p>
      <w:pPr>
        <w:numPr>
          <w:ilvl w:val="0"/>
          <w:numId w:val="1005"/>
        </w:numPr>
        <w:pStyle w:val="Compact"/>
      </w:pPr>
      <w:r>
        <w:t xml:space="preserve">Any project in the EU (European Accessibility Act takes effect June 2025)</w:t>
      </w:r>
    </w:p>
    <w:p>
      <w:pPr>
        <w:pStyle w:val="FirstParagraph"/>
      </w:pPr>
      <w:r>
        <w:rPr>
          <w:b/>
        </w:rPr>
        <w:t xml:space="preserve">There is no valid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skip when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for accessibility.</w:t>
      </w:r>
      <w:r>
        <w:t xml:space="preserve"> </w:t>
      </w:r>
      <w:r>
        <w:t xml:space="preserve">Even internal tools should meet baseline keyboard navigation and screen reader support. The question is how deep you go, not whether you test at all.</w:t>
      </w:r>
    </w:p>
    <w:p>
      <w:pPr>
        <w:pStyle w:val="Heading2"/>
      </w:pPr>
      <w:bookmarkStart w:id="31" w:name="setup-guide"/>
      <w:r>
        <w:t xml:space="preserve">Setup Guide</w:t>
      </w:r>
      <w:bookmarkEnd w:id="31"/>
    </w:p>
    <w:p>
      <w:pPr>
        <w:pStyle w:val="Heading3"/>
      </w:pPr>
      <w:bookmarkStart w:id="32" w:name="X7a8f22216b96689c8768dcff833bfe58364d3a3"/>
      <w:r>
        <w:t xml:space="preserve">Layer 1: Automated scanning in unit tests (jest-axe)</w:t>
      </w:r>
      <w:bookmarkEnd w:id="32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--save-dev jest-axe @types/jest-axe</w:t>
      </w:r>
    </w:p>
    <w:p>
      <w:pPr>
        <w:pStyle w:val="FirstParagraph"/>
      </w:pPr>
      <w:r>
        <w:t xml:space="preserve">Runs axe-core against rendered component HTML in Jest/Vitest. Fast, catches structural violations.</w:t>
      </w:r>
    </w:p>
    <w:p>
      <w:pPr>
        <w:pStyle w:val="Heading3"/>
      </w:pPr>
      <w:bookmarkStart w:id="33" w:name="Xe50d6616e9d3c7799625a4c08f8f4ab4820893a"/>
      <w:r>
        <w:t xml:space="preserve">Layer 2: Automated scanning in E2E tests (Playwright + axe)</w:t>
      </w:r>
      <w:bookmarkEnd w:id="33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--save-dev @axe-core/playwright</w:t>
      </w:r>
    </w:p>
    <w:p>
      <w:pPr>
        <w:pStyle w:val="FirstParagraph"/>
      </w:pPr>
      <w:r>
        <w:t xml:space="preserve">Runs axe-core against the real rendered page in a browser. Catches violations that only appear with real CSS applied.</w:t>
      </w:r>
    </w:p>
    <w:p>
      <w:pPr>
        <w:pStyle w:val="Heading3"/>
      </w:pPr>
      <w:bookmarkStart w:id="34" w:name="Xe9fefa82e09c14312d6b318c7f7263c272e02df"/>
      <w:r>
        <w:t xml:space="preserve">Layer 3: ESLint plugin for development-time catching</w:t>
      </w:r>
      <w:bookmarkEnd w:id="34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--save-dev eslint-plugin-jsx-a11y</w:t>
      </w:r>
    </w:p>
    <w:p>
      <w:pPr>
        <w:pStyle w:val="FirstParagraph"/>
      </w:pPr>
      <w:r>
        <w:t xml:space="preserve">Catches common React a11y issues at lint time — missing alt, onClick without keyboard handler, non-interactive elements with click handlers.</w:t>
      </w:r>
    </w:p>
    <w:p>
      <w:pPr>
        <w:pStyle w:val="Heading3"/>
      </w:pPr>
      <w:bookmarkStart w:id="35" w:name="layer-4-manual-testing-tools"/>
      <w:r>
        <w:t xml:space="preserve">Layer 4: Manual testing tools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Keyboard</w:t>
      </w:r>
      <w:r>
        <w:t xml:space="preserve"> </w:t>
      </w:r>
      <w:r>
        <w:t xml:space="preserve">— Tab, Shift+Tab, Enter, Space, Escape, Arrow keys. No additional setup.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Screen readers</w:t>
      </w:r>
      <w:r>
        <w:t xml:space="preserve"> </w:t>
      </w:r>
      <w:r>
        <w:t xml:space="preserve">— VoiceOver (macOS: Cmd+F5), NVDA (Windows, free), JAWS (Windows, paid)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Browser extensions</w:t>
      </w:r>
      <w:r>
        <w:t xml:space="preserve"> </w:t>
      </w:r>
      <w:r>
        <w:t xml:space="preserve">— axe DevTools, Lighthouse Accessibility, WAVE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Color contrast</w:t>
      </w:r>
      <w:r>
        <w:t xml:space="preserve"> </w:t>
      </w:r>
      <w:r>
        <w:t xml:space="preserve">— WebAIM Contrast Checker, Stark (Figma plugin)</w:t>
      </w:r>
    </w:p>
    <w:p>
      <w:pPr>
        <w:pStyle w:val="Heading3"/>
      </w:pPr>
      <w:bookmarkStart w:id="36" w:name="eslint-configuration"/>
      <w:r>
        <w:t xml:space="preserve">ESLint configuration</w:t>
      </w:r>
      <w:bookmarkEnd w:id="36"/>
    </w:p>
    <w:p>
      <w:pPr>
        <w:pStyle w:val="SourceCode"/>
      </w:pPr>
      <w:r>
        <w:rPr>
          <w:rStyle w:val="CommentTok"/>
        </w:rPr>
        <w:t xml:space="preserve">// .eslintrc.js (partial)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'jsx-a11y'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'plugin:jsx-a11y/recommended'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'jsx-a11y/anchor-is-valid'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specialLink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'jsx-a11y/label-has-associated-control'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'either'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2"/>
      </w:pPr>
      <w:bookmarkStart w:id="37" w:name="template"/>
      <w:r>
        <w:t xml:space="preserve">Template</w:t>
      </w:r>
      <w:bookmarkEnd w:id="37"/>
    </w:p>
    <w:p>
      <w:pPr>
        <w:pStyle w:val="Heading3"/>
      </w:pPr>
      <w:bookmarkStart w:id="38" w:name="unit-level-a11y-testing-with-jest-axe"/>
      <w:r>
        <w:t xml:space="preserve">Unit-level a11y testing with jest-axe</w:t>
      </w:r>
      <w:bookmarkEnd w:id="38"/>
    </w:p>
    <w:p>
      <w:pPr>
        <w:pStyle w:val="SourceCode"/>
      </w:pPr>
      <w:r>
        <w:rPr>
          <w:rStyle w:val="CommentTok"/>
        </w:rPr>
        <w:t xml:space="preserve">// components/LoginForm.test.tsx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 } from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axe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toHaveNoViolations } from </w:t>
      </w:r>
      <w:r>
        <w:rPr>
          <w:rStyle w:val="StringTok"/>
        </w:rPr>
        <w:t xml:space="preserve">'jest-axe'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LoginForm } from </w:t>
      </w:r>
      <w:r>
        <w:rPr>
          <w:rStyle w:val="StringTok"/>
        </w:rPr>
        <w:t xml:space="preserve">'./LoginForm'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</w:t>
      </w:r>
      <w:r>
        <w:rPr>
          <w:rStyle w:val="NormalTok"/>
        </w:rPr>
        <w:t xml:space="preserve">(toHaveNoViolations)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'LoginForm accessibility'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no axe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{ container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axe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toHaveNoViolations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no axe violations in error 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{ container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 error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email or 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axe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toHaveNoViolations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no axe violations when loading'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{ container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 isLoading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axe</w:t>
      </w:r>
      <w:r>
        <w:rPr>
          <w:rStyle w:val="NormalTok"/>
        </w:rPr>
        <w:t xml:space="preserve">(container)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toHaveNoViolations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39" w:name="Xbf6f93c00edb1ce72bc34d0eb1393fec16b0316"/>
      <w:r>
        <w:t xml:space="preserve">Page-level a11y testing with Playwright + axe</w:t>
      </w:r>
      <w:bookmarkEnd w:id="39"/>
    </w:p>
    <w:p>
      <w:pPr>
        <w:pStyle w:val="SourceCode"/>
      </w:pPr>
      <w:r>
        <w:rPr>
          <w:rStyle w:val="CommentTok"/>
        </w:rPr>
        <w:t xml:space="preserve">// e2e/a11y/dashboard.a11y.spec.ts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from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AxeBuilder from </w:t>
      </w:r>
      <w:r>
        <w:rPr>
          <w:rStyle w:val="StringTok"/>
        </w:rPr>
        <w:t xml:space="preserve">'@axe-core/playwright'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accessibility'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no critical accessibility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waitForLoadState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'wcag2a'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'wcag21aa'</w:t>
      </w:r>
      <w:r>
        <w:rPr>
          <w:rStyle w:val="NormalTok"/>
        </w:rPr>
        <w:t xml:space="preserve">]) </w:t>
      </w:r>
      <w:r>
        <w:rPr>
          <w:rStyle w:val="CommentTok"/>
        </w:rPr>
        <w:t xml:space="preserve">// WCAG 2.1 AA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'.third-party-widget'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Exclude elements you don't control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 no violations after opening 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project'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'wcag2a'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'wcag2aa'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0" w:name="keyboard-navigation-testing"/>
      <w:r>
        <w:t xml:space="preserve">Keyboard navigation testing</w:t>
      </w:r>
      <w:bookmarkEnd w:id="40"/>
    </w:p>
    <w:p>
      <w:pPr>
        <w:pStyle w:val="SourceCode"/>
      </w:pPr>
      <w:r>
        <w:rPr>
          <w:rStyle w:val="CommentTok"/>
        </w:rPr>
        <w:t xml:space="preserve">// e2e/a11y/keyboard-navigation.spec.ts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from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'Keyboard navigation'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 order follows visual layout on main nav'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Tab through main navigation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 to main content link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 to content'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Logo/home link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/home/i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nav item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'modal traps focus and Escape closes 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project'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(dialog)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Focus should be inside the modal</w:t>
      </w:r>
      <w:r>
        <w:br/>
      </w:r>
      <w:r>
        <w:rPr>
          <w:rStyle w:val="NormalTok"/>
        </w:rPr>
        <w:t xml:space="preserve">    const focusedElement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':focus'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(focusedElement)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Tab through all focusable elements — focus should not leave the modal</w:t>
      </w:r>
      <w:r>
        <w:br/>
      </w:r>
      <w:r>
        <w:rPr>
          <w:rStyle w:val="NormalTok"/>
        </w:rPr>
        <w:t xml:space="preserve">    const focusableInModal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'a, button, input, textarea, select, [tabindex]:not([tabindex="-1"])'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focusableInModal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(let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focused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const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const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'[role="dialog"]'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return dialog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(focused)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(true)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Escape closes the modal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(dialog)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toBeHidden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Focus returns to the trigger button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project'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'dropdown menu supports arrow key navigation'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menu'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const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(menu)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Arrow down moves through items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'ArrowDown'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'ArrowDown'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'menuitem'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toBeFocused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Enter activates the item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settings/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1" w:name="reusable-a11y-scan-helper"/>
      <w:r>
        <w:t xml:space="preserve">Reusable a11y scan helper</w:t>
      </w:r>
      <w:bookmarkEnd w:id="41"/>
    </w:p>
    <w:p>
      <w:pPr>
        <w:pStyle w:val="SourceCode"/>
      </w:pPr>
      <w:r>
        <w:rPr>
          <w:rStyle w:val="CommentTok"/>
        </w:rPr>
        <w:t xml:space="preserve">// e2e/helpers/a11y.ts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AxeBuilder from </w:t>
      </w:r>
      <w:r>
        <w:rPr>
          <w:rStyle w:val="StringTok"/>
        </w:rPr>
        <w:t xml:space="preserve">'@axe-core/playwright'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from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expectNoA11yViolations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exclude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let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'wcag2a'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'wcag21aa'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selector of options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exclude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const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helpUrl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'Accessibility violations:'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(formatted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42" w:name="common-pitfalls"/>
      <w:r>
        <w:t xml:space="preserve">Common Pitfalls</w:t>
      </w:r>
      <w:bookmarkEnd w:id="42"/>
    </w:p>
    <w:tbl>
      <w:tblPr>
        <w:tblStyle w:val="Table"/>
        <w:tblW w:type="pct" w:w="5000.0"/>
        <w:tblLook w:firstRow="1"/>
      </w:tblPr>
      <w:tblGrid>
        <w:gridCol w:w="2457"/>
        <w:gridCol w:w="4096"/>
        <w:gridCol w:w="13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Pitfall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Happens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axe found 0 violations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treated as fully accessible</w:t>
            </w:r>
          </w:p>
        </w:tc>
        <w:tc>
          <w:p>
            <w:pPr>
              <w:pStyle w:val="Compact"/>
              <w:jc w:val="left"/>
            </w:pPr>
            <w:r>
              <w:t xml:space="preserve">Teams run automated scans, get a clean report, and declare the feature accessible. Automated tools catch 30-40% of issues at best.</w:t>
            </w:r>
          </w:p>
        </w:tc>
        <w:tc>
          <w:p>
            <w:pPr>
              <w:pStyle w:val="Compact"/>
              <w:jc w:val="left"/>
            </w:pPr>
            <w:r>
              <w:t xml:space="preserve">Automated scanning is the floor, not the ceiling. Layer in keyboard navigation tests, screen reader spot-checks, and manual testing for every new interactive component.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components ignore ARIA patterns</w:t>
            </w:r>
          </w:p>
        </w:tc>
        <w:tc>
          <w:p>
            <w:pPr>
              <w:pStyle w:val="Compact"/>
              <w:jc w:val="left"/>
            </w:pPr>
            <w:r>
              <w:t xml:space="preserve">A custom</w:t>
            </w:r>
            <w:r>
              <w:t xml:space="preserve"> </w:t>
            </w:r>
            <w:r>
              <w:rPr>
                <w:rStyle w:val="VerbatimChar"/>
              </w:rPr>
              <w:t xml:space="preserve">&lt;Select&gt;</w:t>
            </w:r>
            <w:r>
              <w:t xml:space="preserve"> </w:t>
            </w:r>
            <w:r>
              <w:t xml:space="preserve">looks great visually but doesn’t implement</w:t>
            </w:r>
            <w:r>
              <w:t xml:space="preserve"> </w:t>
            </w:r>
            <w:r>
              <w:rPr>
                <w:rStyle w:val="VerbatimChar"/>
              </w:rPr>
              <w:t xml:space="preserve">role="listbox"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aria-expanded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aria-activedescendant</w:t>
            </w:r>
            <w:r>
              <w:t xml:space="preserve">, or keyboard navigation.</w:t>
            </w:r>
          </w:p>
        </w:tc>
        <w:tc>
          <w:p>
            <w:pPr>
              <w:pStyle w:val="Compact"/>
              <w:jc w:val="left"/>
            </w:pPr>
            <w:r>
              <w:t xml:space="preserve">Follow WAI-ARIA Authoring Practices Guide for every custom widget pattern. Or use headless UI libraries (Radix UI, React Aria, Headless UI) that handle ARIA correctly.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Focus management ignored in SPAs</w:t>
            </w:r>
          </w:p>
        </w:tc>
        <w:tc>
          <w:p>
            <w:pPr>
              <w:pStyle w:val="Compact"/>
              <w:jc w:val="left"/>
            </w:pPr>
            <w:r>
              <w:t xml:space="preserve">Route changes render new content but focus stays on the previous page’s elements. Screen reader users hear nothing, don’t know the page changed.</w:t>
            </w:r>
          </w:p>
        </w:tc>
        <w:tc>
          <w:p>
            <w:pPr>
              <w:pStyle w:val="Compact"/>
              <w:jc w:val="left"/>
            </w:pPr>
            <w:r>
              <w:t xml:space="preserve">On route change, move focus to the main content heading or a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 </w:t>
            </w:r>
            <w:r>
              <w:t xml:space="preserve">landmark. Use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  <w:r>
              <w:t xml:space="preserve"> </w:t>
            </w:r>
            <w:r>
              <w:t xml:space="preserve">for route announcements.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Color is the only indicator</w:t>
            </w:r>
          </w:p>
        </w:tc>
        <w:tc>
          <w:p>
            <w:pPr>
              <w:pStyle w:val="Compact"/>
              <w:jc w:val="left"/>
            </w:pPr>
            <w:r>
              <w:t xml:space="preserve">Error states shown only with red borders, success shown only with green checkmarks. Color-blind users miss the signal entirely.</w:t>
            </w:r>
          </w:p>
        </w:tc>
        <w:tc>
          <w:p>
            <w:pPr>
              <w:pStyle w:val="Compact"/>
              <w:jc w:val="left"/>
            </w:pPr>
            <w:r>
              <w:t xml:space="preserve">Always pair color with text, icons, or patterns. Error states need error text. Required fields need</w:t>
            </w:r>
            <w:r>
              <w:t xml:space="preserve"> </w:t>
            </w:r>
            <w:r>
              <w:t xml:space="preserve">“</w:t>
            </w:r>
            <w:r>
              <w:t xml:space="preserve">(required)</w:t>
            </w:r>
            <w:r>
              <w:t xml:space="preserve">”</w:t>
            </w:r>
            <w:r>
              <w:t xml:space="preserve"> </w:t>
            </w:r>
            <w:r>
              <w:t xml:space="preserve">not just a red asterisk.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Skip link missing or broken</w:t>
            </w:r>
          </w:p>
        </w:tc>
        <w:tc>
          <w:p>
            <w:pPr>
              <w:pStyle w:val="Compact"/>
              <w:jc w:val="left"/>
            </w:pPr>
            <w:r>
              <w:t xml:space="preserve">No skip-to-content link, or it exists but is permanently</w:t>
            </w:r>
            <w:r>
              <w:t xml:space="preserve"> </w:t>
            </w:r>
            <w:r>
              <w:rPr>
                <w:rStyle w:val="VerbatimChar"/>
              </w:rPr>
              <w:t xml:space="preserve">display: none</w:t>
            </w:r>
            <w:r>
              <w:t xml:space="preserve"> </w:t>
            </w:r>
            <w:r>
              <w:t xml:space="preserve">(so it’s invisible even to keyboard users who need it).</w:t>
            </w:r>
          </w:p>
        </w:tc>
        <w:tc>
          <w:p>
            <w:pPr>
              <w:pStyle w:val="Compact"/>
              <w:jc w:val="left"/>
            </w:pPr>
            <w:r>
              <w:t xml:space="preserve">Style skip links as</w:t>
            </w:r>
            <w:r>
              <w:t xml:space="preserve"> </w:t>
            </w:r>
            <w:r>
              <w:rPr>
                <w:rStyle w:val="VerbatimChar"/>
              </w:rPr>
              <w:t xml:space="preserve">position: absolute; left: -9999px;</w:t>
            </w:r>
            <w:r>
              <w:t xml:space="preserve"> </w:t>
            </w:r>
            <w:r>
              <w:t xml:space="preserve">and bring them on-screen with</w:t>
            </w:r>
            <w:r>
              <w:t xml:space="preserve"> </w:t>
            </w:r>
            <w:r>
              <w:rPr>
                <w:rStyle w:val="VerbatimChar"/>
              </w:rPr>
              <w:t xml:space="preserve">:focus</w:t>
            </w:r>
            <w:r>
              <w:t xml:space="preserve"> </w:t>
            </w:r>
            <w:r>
              <w:t xml:space="preserve">styles. Test by pressing Tab on page load — the skip link should appear.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Testing only the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happy path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Forms tested empty but not in error state, loading state, or disabled state. Each state can introduce new violations.</w:t>
            </w:r>
          </w:p>
        </w:tc>
        <w:tc>
          <w:p>
            <w:pPr>
              <w:pStyle w:val="Compact"/>
              <w:jc w:val="left"/>
            </w:pPr>
            <w:r>
              <w:t xml:space="preserve">Test every component state: default, hover, focus, active, disabled, error, loading, empty, full. Each state is a separate axe run.</w:t>
            </w:r>
          </w:p>
        </w:tc>
      </w:tr>
    </w:tbl>
    <w:p>
      <w:pPr>
        <w:pStyle w:val="Heading2"/>
      </w:pPr>
      <w:bookmarkStart w:id="43" w:name="proof-artifact"/>
      <w:r>
        <w:t xml:space="preserve">Proof Artifact</w:t>
      </w:r>
      <w:bookmarkEnd w:id="43"/>
    </w:p>
    <w:p>
      <w:pPr>
        <w:pStyle w:val="FirstParagraph"/>
      </w:pPr>
      <w:r>
        <w:t xml:space="preserve">The accessibility test suite must produce:</w:t>
      </w:r>
    </w:p>
    <w:p>
      <w:pPr>
        <w:numPr>
          <w:ilvl w:val="0"/>
          <w:numId w:val="1007"/>
        </w:numPr>
      </w:pPr>
      <w:r>
        <w:rPr>
          <w:b/>
        </w:rPr>
        <w:t xml:space="preserve">axe-core scan results</w:t>
      </w:r>
      <w:r>
        <w:t xml:space="preserve"> </w:t>
      </w:r>
      <w:r>
        <w:t xml:space="preserve">— zero violations at WCAG 2.1 AA level across all tested pages/components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✓ Dashboard has no critical accessibility violations</w:t>
      </w:r>
      <w:r>
        <w:br/>
      </w:r>
      <w:r>
        <w:rPr>
          <w:rStyle w:val="VerbatimChar"/>
        </w:rPr>
        <w:t xml:space="preserve">✓ Dashboard has no violations after opening modal</w:t>
      </w:r>
      <w:r>
        <w:br/>
      </w:r>
      <w:r>
        <w:rPr>
          <w:rStyle w:val="VerbatimChar"/>
        </w:rPr>
        <w:t xml:space="preserve">✓ Login page has no axe violations</w:t>
      </w:r>
      <w:r>
        <w:br/>
      </w:r>
      <w:r>
        <w:rPr>
          <w:rStyle w:val="VerbatimChar"/>
        </w:rPr>
        <w:t xml:space="preserve">✓ Login page has no axe violations in error state</w:t>
      </w:r>
      <w:r>
        <w:br/>
      </w:r>
      <w:r>
        <w:rPr>
          <w:rStyle w:val="VerbatimChar"/>
        </w:rPr>
        <w:t xml:space="preserve">8 passed (12s)</w:t>
      </w:r>
    </w:p>
    <w:p>
      <w:pPr>
        <w:numPr>
          <w:ilvl w:val="0"/>
          <w:numId w:val="1007"/>
        </w:numPr>
      </w:pPr>
      <w:r>
        <w:rPr>
          <w:b/>
        </w:rPr>
        <w:t xml:space="preserve">Keyboard navigation test results</w:t>
      </w:r>
      <w:r>
        <w:t xml:space="preserve"> </w:t>
      </w:r>
      <w:r>
        <w:t xml:space="preserve">— all keyboard interaction tests passing (Tab order, focus trapping, Escape behavior, arrow key navigation)</w:t>
      </w:r>
    </w:p>
    <w:p>
      <w:pPr>
        <w:numPr>
          <w:ilvl w:val="0"/>
          <w:numId w:val="1007"/>
        </w:numPr>
      </w:pPr>
      <w:r>
        <w:rPr>
          <w:b/>
        </w:rPr>
        <w:t xml:space="preserve">Pages scanned list</w:t>
      </w:r>
      <w:r>
        <w:t xml:space="preserve"> </w:t>
      </w:r>
      <w:r>
        <w:t xml:space="preserve">— every page or route that was scanned, with the axe tags applied: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| Page            | axe Tags                      | Violations |</w:t>
      </w:r>
      <w:r>
        <w:br/>
      </w:r>
      <w:r>
        <w:rPr>
          <w:rStyle w:val="VerbatimChar"/>
        </w:rPr>
        <w:t xml:space="preserve">|-----------------|-------------------------------|------------|</w:t>
      </w:r>
      <w:r>
        <w:br/>
      </w:r>
      <w:r>
        <w:rPr>
          <w:rStyle w:val="VerbatimChar"/>
        </w:rPr>
        <w:t xml:space="preserve">| /               | wcag2a, wcag2aa, wcag21aa     | 0          |</w:t>
      </w:r>
      <w:r>
        <w:br/>
      </w:r>
      <w:r>
        <w:rPr>
          <w:rStyle w:val="VerbatimChar"/>
        </w:rPr>
        <w:t xml:space="preserve">| /dashboard      | wcag2a, wcag2aa, wcag21aa     | 0          |</w:t>
      </w:r>
      <w:r>
        <w:br/>
      </w:r>
      <w:r>
        <w:rPr>
          <w:rStyle w:val="VerbatimChar"/>
        </w:rPr>
        <w:t xml:space="preserve">| /settings       | wcag2a, wcag2aa, wcag21aa     | 0          |</w:t>
      </w:r>
      <w:r>
        <w:br/>
      </w:r>
      <w:r>
        <w:rPr>
          <w:rStyle w:val="VerbatimChar"/>
        </w:rPr>
        <w:t xml:space="preserve">| /pricing        | wcag2a, wcag2aa, wcag21aa     | 0          |</w:t>
      </w:r>
    </w:p>
    <w:p>
      <w:pPr>
        <w:numPr>
          <w:ilvl w:val="0"/>
          <w:numId w:val="1007"/>
        </w:numPr>
      </w:pPr>
      <w:r>
        <w:rPr>
          <w:b/>
        </w:rPr>
        <w:t xml:space="preserve">Manual screen reader testing log</w:t>
      </w:r>
      <w:r>
        <w:t xml:space="preserve"> </w:t>
      </w:r>
      <w:r>
        <w:t xml:space="preserve">(for critical features) — a checklist documenting that a human tested the primary flows with at least one screen reader: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| Flow             | Screen Reader     | Result | Notes                          |</w:t>
      </w:r>
      <w:r>
        <w:br/>
      </w:r>
      <w:r>
        <w:rPr>
          <w:rStyle w:val="VerbatimChar"/>
        </w:rPr>
        <w:t xml:space="preserve">|------------------|-------------------|--------|--------------------------------|</w:t>
      </w:r>
      <w:r>
        <w:br/>
      </w:r>
      <w:r>
        <w:rPr>
          <w:rStyle w:val="VerbatimChar"/>
        </w:rPr>
        <w:t xml:space="preserve">| Sign up          | VoiceOver/Safari  | Pass   | All form fields announced      |</w:t>
      </w:r>
      <w:r>
        <w:br/>
      </w:r>
      <w:r>
        <w:rPr>
          <w:rStyle w:val="VerbatimChar"/>
        </w:rPr>
        <w:t xml:space="preserve">| Checkout         | NVDA/Firefox      | Pass   | Price total announced on update|</w:t>
      </w:r>
      <w:r>
        <w:br/>
      </w:r>
      <w:r>
        <w:rPr>
          <w:rStyle w:val="VerbatimChar"/>
        </w:rPr>
        <w:t xml:space="preserve">| Dashboard nav    | VoiceOver/Safari  | Pass   | Landmarks correctly identified |</w:t>
      </w:r>
    </w:p>
    <w:p>
      <w:pPr>
        <w:numPr>
          <w:ilvl w:val="0"/>
          <w:numId w:val="1007"/>
        </w:numPr>
      </w:pPr>
      <w:r>
        <w:rPr>
          <w:b/>
        </w:rPr>
        <w:t xml:space="preserve">Lighthouse Accessibility score</w:t>
      </w:r>
      <w:r>
        <w:t xml:space="preserve"> </w:t>
      </w:r>
      <w:r>
        <w:t xml:space="preserve">— screenshot or CI output showing Lighthouse accessibility score &gt;= 95 for key pages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Accessibility (a11y) testing verifies that your application can be used by people with disabilities — including those who navigate with keyboards, use screen readers, have low vision, experience color blindness, or have motor impairments that prevent precise mouse use. Automated tools like axe-core</dc:description>
  <cp:keywords/>
  <dcterms:created xsi:type="dcterms:W3CDTF">2026-04-26T14:58:00Z</dcterms:created>
  <dcterms:modified xsi:type="dcterms:W3CDTF">2026-04-26T14:58:00Z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accessibility-tests</vt:lpwstr>
  </property>
</Properties>
</file>