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D6E8" w14:textId="77777777" w:rsidR="00EB137B" w:rsidRDefault="00000000">
      <w:pPr>
        <w:pStyle w:val="FirstParagraph"/>
      </w:pPr>
      <w:r>
        <w:rPr>
          <w:b/>
        </w:rPr>
        <w:t>Universidade Federal do Rio Grande do Norte</w:t>
      </w:r>
      <w:r>
        <w:t xml:space="preserve"> </w:t>
      </w:r>
      <w:r>
        <w:rPr>
          <w:b/>
        </w:rPr>
        <w:t>Instituto Metrópole Digital</w:t>
      </w:r>
      <w:r>
        <w:t xml:space="preserve"> </w:t>
      </w:r>
      <w:r>
        <w:rPr>
          <w:b/>
        </w:rPr>
        <w:t>Programa de Pós-Graduação em Tecnologia da Informação</w:t>
      </w:r>
      <w:r>
        <w:t xml:space="preserve"> </w:t>
      </w:r>
      <w:r>
        <w:rPr>
          <w:b/>
        </w:rPr>
        <w:t>Disciplina:</w:t>
      </w:r>
      <w:r>
        <w:t xml:space="preserve"> Tópicos Avançados em Engenharia de Software 2 (Desenv. de Software com IA) </w:t>
      </w:r>
      <w:r>
        <w:rPr>
          <w:b/>
        </w:rPr>
        <w:t>Professor:</w:t>
      </w:r>
      <w:r>
        <w:t xml:space="preserve"> Jean Mário Moreira de Lima </w:t>
      </w:r>
      <w:r>
        <w:rPr>
          <w:b/>
        </w:rPr>
        <w:t>Alunos:</w:t>
      </w:r>
      <w:r>
        <w:t xml:space="preserve"> Flávio Eduardo Batista Moreira e Bruno dos Santos Fernandes da Silva</w:t>
      </w:r>
    </w:p>
    <w:p w14:paraId="3BE06D21" w14:textId="77777777" w:rsidR="00EB137B" w:rsidRPr="007670BA" w:rsidRDefault="00000000">
      <w:pPr>
        <w:pStyle w:val="Ttulo1"/>
        <w:rPr>
          <w:color w:val="auto"/>
        </w:rPr>
      </w:pPr>
      <w:bookmarkStart w:id="0" w:name="escopo-do-projeto-final"/>
      <w:r w:rsidRPr="007670BA">
        <w:rPr>
          <w:color w:val="auto"/>
        </w:rPr>
        <w:t>Escopo do Projeto Final</w:t>
      </w:r>
      <w:bookmarkEnd w:id="0"/>
    </w:p>
    <w:p w14:paraId="2BC76594" w14:textId="77777777" w:rsidR="00EB137B" w:rsidRPr="007670BA" w:rsidRDefault="00000000">
      <w:pPr>
        <w:pStyle w:val="Ttulo2"/>
        <w:rPr>
          <w:color w:val="auto"/>
        </w:rPr>
      </w:pPr>
      <w:bookmarkStart w:id="1" w:name="Xece44f0e542d6154244ccd09741385e9cf9eaf7"/>
      <w:r w:rsidRPr="007670BA">
        <w:rPr>
          <w:color w:val="auto"/>
        </w:rPr>
        <w:t>Piloto RN de custo social de sinistros rodoviários e caminho de escala nacional</w:t>
      </w:r>
      <w:bookmarkEnd w:id="1"/>
    </w:p>
    <w:p w14:paraId="1B90A966" w14:textId="77777777" w:rsidR="00EB137B" w:rsidRPr="007670BA" w:rsidRDefault="00000000">
      <w:r w:rsidRPr="007670BA">
        <w:pict w14:anchorId="5B75FE72">
          <v:rect id="_x0000_i1025" style="width:0;height:1.5pt" o:hralign="center" o:hrstd="t" o:hr="t"/>
        </w:pict>
      </w:r>
    </w:p>
    <w:p w14:paraId="17BF5E3D" w14:textId="77777777" w:rsidR="00EB137B" w:rsidRPr="007670BA" w:rsidRDefault="00000000">
      <w:pPr>
        <w:pStyle w:val="Ttulo2"/>
        <w:rPr>
          <w:color w:val="auto"/>
        </w:rPr>
      </w:pPr>
      <w:bookmarkStart w:id="2" w:name="objetivo-e-enquadramento"/>
      <w:r w:rsidRPr="007670BA">
        <w:rPr>
          <w:color w:val="auto"/>
        </w:rPr>
        <w:t>1. Objetivo e enquadramento</w:t>
      </w:r>
      <w:bookmarkEnd w:id="2"/>
    </w:p>
    <w:p w14:paraId="238EF5C5" w14:textId="77777777" w:rsidR="00EB137B" w:rsidRPr="007670BA" w:rsidRDefault="00000000">
      <w:pPr>
        <w:pStyle w:val="FirstParagraph"/>
      </w:pPr>
      <w:r w:rsidRPr="007670BA">
        <w:t>O projeto final aplica os três módulos da disciplina a um caso real da tese de doutorado do aluno: a valoração e a espacialização do custo social dos sinistros nas rodovias federais. O entregável da disciplina é um piloto restrito ao Rio Grande do Norte, que calcula o custo social por segmento da rodovia e projeta em mapa os trechos críticos. O mesmo código, parametrizado por unidade da federação, é o que depois escala para o Brasil, na continuidade da tese.</w:t>
      </w:r>
    </w:p>
    <w:p w14:paraId="3E775577" w14:textId="77777777" w:rsidR="00EB137B" w:rsidRPr="007670BA" w:rsidRDefault="00000000">
      <w:pPr>
        <w:pStyle w:val="Corpodetexto"/>
      </w:pPr>
      <w:r w:rsidRPr="007670BA">
        <w:t>A escolha do RN como piloto atende a dois objetivos ao mesmo tempo. Entrega um trabalho fechado e apresentável no prazo da disciplina, e produz a primeira instância verificável do pipeline nacional que a tese precisa. O piloto é o Brasil rodado com um filtro de estado, e por isso alimenta a tese na mesma medida em que fecha a disciplina.</w:t>
      </w:r>
    </w:p>
    <w:p w14:paraId="03169A57" w14:textId="77777777" w:rsidR="00EB137B" w:rsidRPr="007670BA" w:rsidRDefault="00000000">
      <w:pPr>
        <w:pStyle w:val="Ttulo2"/>
        <w:rPr>
          <w:color w:val="auto"/>
        </w:rPr>
      </w:pPr>
      <w:bookmarkStart w:id="3" w:name="ponto-de-partida"/>
      <w:r w:rsidRPr="007670BA">
        <w:rPr>
          <w:color w:val="auto"/>
        </w:rPr>
        <w:t>2. Ponto de partida</w:t>
      </w:r>
      <w:bookmarkEnd w:id="3"/>
    </w:p>
    <w:p w14:paraId="152BA27F" w14:textId="77777777" w:rsidR="00EB137B" w:rsidRPr="007670BA" w:rsidRDefault="00000000">
      <w:pPr>
        <w:pStyle w:val="FirstParagraph"/>
      </w:pPr>
      <w:r w:rsidRPr="007670BA">
        <w:t xml:space="preserve">O trabalho não começa do zero. A planilha </w:t>
      </w:r>
      <w:r w:rsidRPr="007670BA">
        <w:rPr>
          <w:rStyle w:val="VerbatimChar"/>
        </w:rPr>
        <w:t>Custo_Social_Parametros_e_Resultados_V07.xlsx</w:t>
      </w:r>
      <w:r w:rsidRPr="007670BA">
        <w:t xml:space="preserve"> já traz o custo por unidade da federação com a extensão de malha vinda do SNV, a correção de subregistro entre o SIM e a PRF, a completude do registro de ferido grave triangulada entre SIH, RENAEST e PRF, o dano material da PRF por classe de montante e um cenário de custo por vida. Para o RN, a planilha já registra 1.547 sinistros sem vítimas, 7.803 com feridos e 647 fatais no período, sobre 1.648,7 km de malha, com custo social de R$ 2,30 bilhões e valor médio de R$ 230 mil por sinistro.</w:t>
      </w:r>
    </w:p>
    <w:p w14:paraId="4605A008" w14:textId="77777777" w:rsidR="00EB137B" w:rsidRPr="007670BA" w:rsidRDefault="00000000">
      <w:pPr>
        <w:pStyle w:val="Corpodetexto"/>
      </w:pPr>
      <w:r w:rsidRPr="007670BA">
        <w:t>As quatro bases de dados que sustentam o piloto estão coletadas e no mesmo referenciamento linear. Os sinistros da PRF trazem BR, quilômetro, latitude, longitude e a contagem de ilesos, feridos leves, feridos graves e mortos por pessoa. O SNV traz a definição do segmento por safra, de 2018 a 2025. O PNCT/VMDa traz o volume médio diário anual por unidade de tráfego, de 2017 a 2025, cada safra amarrada à safra correspondente do SNV. Os pedidos da LAI trazem os componentes observados do custo: o INSS para a perda de produção, o SAMU para o atendimento pré-hospitalar, o SIH e o SIM do DATASUS para a saúde e a mortalidade, e a PRF para o dano material.</w:t>
      </w:r>
    </w:p>
    <w:p w14:paraId="60D91EBB" w14:textId="77777777" w:rsidR="00EB137B" w:rsidRPr="007670BA" w:rsidRDefault="00000000">
      <w:pPr>
        <w:pStyle w:val="Ttulo2"/>
        <w:rPr>
          <w:color w:val="auto"/>
        </w:rPr>
      </w:pPr>
      <w:bookmarkStart w:id="4" w:name="modelo-de-custo-em-quatro-categorias"/>
      <w:r w:rsidRPr="007670BA">
        <w:rPr>
          <w:color w:val="auto"/>
        </w:rPr>
        <w:t>3. Modelo de custo em quatro categorias</w:t>
      </w:r>
      <w:bookmarkEnd w:id="4"/>
    </w:p>
    <w:p w14:paraId="047CE53F" w14:textId="77777777" w:rsidR="00EB137B" w:rsidRPr="007670BA" w:rsidRDefault="00000000">
      <w:pPr>
        <w:pStyle w:val="FirstParagraph"/>
      </w:pPr>
      <w:r w:rsidRPr="007670BA">
        <w:t>A refinação parte de uma decisão de método. O custo do Ipea, no Texto para Discussão 2565, é definido por ocorrência e em três classes: sem vítimas, com vítimas feridas e com vítima fatal. As quatro categorias pretendidas para o piloto misturam dois níveis de análise. O sinistro sem feridos, com dano material apenas, é uma categoria por ocorrência. O ferido leve, o ferido grave e o óbito são categorias por vítima, e a base da PRF sustenta esse nível de vítima nas colunas de contagem por pessoa.</w:t>
      </w:r>
    </w:p>
    <w:p w14:paraId="46735849" w14:textId="77777777" w:rsidR="00EB137B" w:rsidRPr="007670BA" w:rsidRDefault="00000000">
      <w:pPr>
        <w:pStyle w:val="Corpodetexto"/>
      </w:pPr>
      <w:r w:rsidRPr="007670BA">
        <w:lastRenderedPageBreak/>
        <w:t>A abordagem adotada é híbrida. O custo do Ipea por ocorrência permanece como âncora de referência e validação, por ser a estimativa oficial, comparável e defensável na banca. A refinação usa os dados da LAI para decompor a classe com vítimas feridas em leves e graves. A razão de custo entre as duas sai do observado: o SIH informa o custo de internação do ferido grave, o INSS informa a perda de produção por incapacidade, e a PRF informa a proporção entre leves e graves por ocorrência. O resultado é um custo por vítima e por gravidade, ancorado em desembolso público observável, que triangula contra o total do Ipea em vez de somar sobre ele.</w:t>
      </w:r>
    </w:p>
    <w:p w14:paraId="520EBD6A" w14:textId="77777777" w:rsidR="00EB137B" w:rsidRPr="007670BA" w:rsidRDefault="00000000">
      <w:pPr>
        <w:pStyle w:val="Corpodetexto"/>
      </w:pPr>
      <w:r w:rsidRPr="007670BA">
        <w:t xml:space="preserve">A triangulação evita a dupla contagem, que é o risco maior do refino e que o documento </w:t>
      </w:r>
      <w:r w:rsidRPr="007670BA">
        <w:rPr>
          <w:rStyle w:val="VerbatimChar"/>
        </w:rPr>
        <w:t>Fontes_Custo_Social_Sinistros.docx</w:t>
      </w:r>
      <w:r w:rsidRPr="007670BA">
        <w:t xml:space="preserve"> já nomeia. O valor do Ipea embute a saúde, a perda de produção e o dano a veículos. Somar de novo os componentes observados da LAI sobre esse valor contaria o mesmo custo duas vezes. Por isso os componentes da LAI entram como decomposição e como auditoria do valor do Ipea, sem se somar a ele. As abas </w:t>
      </w:r>
      <w:r w:rsidRPr="007670BA">
        <w:rPr>
          <w:rStyle w:val="VerbatimChar"/>
        </w:rPr>
        <w:t>Fonte_triangulacao_uf_ano</w:t>
      </w:r>
      <w:r w:rsidRPr="007670BA">
        <w:t xml:space="preserve">, </w:t>
      </w:r>
      <w:r w:rsidRPr="007670BA">
        <w:rPr>
          <w:rStyle w:val="VerbatimChar"/>
        </w:rPr>
        <w:t>Completude_FeridoGrave</w:t>
      </w:r>
      <w:r w:rsidRPr="007670BA">
        <w:t xml:space="preserve"> e </w:t>
      </w:r>
      <w:r w:rsidRPr="007670BA">
        <w:rPr>
          <w:rStyle w:val="VerbatimChar"/>
        </w:rPr>
        <w:t>Correcao_Subregistro</w:t>
      </w:r>
      <w:r w:rsidRPr="007670BA">
        <w:t xml:space="preserve"> da planilha são as três pernas dessa triangulação.</w:t>
      </w:r>
    </w:p>
    <w:p w14:paraId="1A855DA2" w14:textId="77777777" w:rsidR="00EB137B" w:rsidRPr="007670BA" w:rsidRDefault="00000000">
      <w:pPr>
        <w:pStyle w:val="Corpodetexto"/>
      </w:pPr>
      <w:r w:rsidRPr="007670BA">
        <w:t>A atualização para valores correntes deixa de depender só do deflator. Hoje o custo é o valor do Ipea de dezembro de 2014 corrigido pelo IPCA até junho de 2026. O refino substitui parte dessa correção por valores observados recentes, porque o benefício do INSS é nominal por ano, a autorização de internação hospitalar do SIH é nominal e o atendimento do SAMU é por evento. O número resultante fica mais próximo do desembolso real.</w:t>
      </w:r>
    </w:p>
    <w:p w14:paraId="0965C654" w14:textId="77777777" w:rsidR="00EB137B" w:rsidRPr="007670BA" w:rsidRDefault="00000000">
      <w:pPr>
        <w:pStyle w:val="Ttulo2"/>
        <w:rPr>
          <w:color w:val="auto"/>
        </w:rPr>
      </w:pPr>
      <w:bookmarkStart w:id="5" w:name="espacialização-no-snv-e-trechos-críticos"/>
      <w:r w:rsidRPr="007670BA">
        <w:rPr>
          <w:color w:val="auto"/>
        </w:rPr>
        <w:t>4. Espacialização no SNV e trechos críticos</w:t>
      </w:r>
      <w:bookmarkEnd w:id="5"/>
    </w:p>
    <w:p w14:paraId="20763A04" w14:textId="77777777" w:rsidR="00EB137B" w:rsidRPr="007670BA" w:rsidRDefault="00000000">
      <w:pPr>
        <w:pStyle w:val="FirstParagraph"/>
      </w:pPr>
      <w:r w:rsidRPr="007670BA">
        <w:t>A espacialização é o núcleo do pipeline e o que amarra o projeto à disciplina. Cada sinistro é ancorado ao segmento do SNV pelo referenciamento linear, com a chave de BR, unidade da federação e quilômetro. Os sinistros e o custo social são agregados por segmento, e os segmentos são ranqueados para a leitura de trecho crítico.</w:t>
      </w:r>
    </w:p>
    <w:p w14:paraId="729C7973" w14:textId="77777777" w:rsidR="00EB137B" w:rsidRPr="007670BA" w:rsidRDefault="00000000">
      <w:pPr>
        <w:pStyle w:val="Corpodetexto"/>
      </w:pPr>
      <w:r w:rsidRPr="007670BA">
        <w:t xml:space="preserve">Dois cuidados que os dados impõem entram como regra. A safra do SNV do ano do sinistro tem de </w:t>
      </w:r>
      <w:proofErr w:type="gramStart"/>
      <w:r w:rsidRPr="007670BA">
        <w:t>casar</w:t>
      </w:r>
      <w:proofErr w:type="gramEnd"/>
      <w:r w:rsidRPr="007670BA">
        <w:t xml:space="preserve"> com a malha vigente naquele ano, porque o traçado e a quilometragem mudam entre safras, e ancorar um sinistro de 2019 na malha de 2025 desloca o ponto. A leitura de trecho crítico por custo absoluto tende a apontar apenas as rodovias movimentadas, o que o item seguinte corrige.</w:t>
      </w:r>
    </w:p>
    <w:p w14:paraId="77EC3459" w14:textId="77777777" w:rsidR="00EB137B" w:rsidRPr="007670BA" w:rsidRDefault="00000000">
      <w:pPr>
        <w:pStyle w:val="Ttulo2"/>
        <w:rPr>
          <w:color w:val="auto"/>
        </w:rPr>
      </w:pPr>
      <w:bookmarkStart w:id="6" w:name="criticidade-ajustada-por-exposição"/>
      <w:r w:rsidRPr="007670BA">
        <w:rPr>
          <w:color w:val="auto"/>
        </w:rPr>
        <w:t>5. Criticidade ajustada por exposição</w:t>
      </w:r>
      <w:bookmarkEnd w:id="6"/>
    </w:p>
    <w:p w14:paraId="3BA13909" w14:textId="77777777" w:rsidR="00EB137B" w:rsidRPr="007670BA" w:rsidRDefault="00000000">
      <w:pPr>
        <w:pStyle w:val="FirstParagraph"/>
      </w:pPr>
      <w:r w:rsidRPr="007670BA">
        <w:t>Um trecho com custo alto pode ser apenas um trecho de tráfego intenso, e não um trecho perigoso. Dividir o custo social do segmento pela exposição de tráfego separa o corredor caro do corredor de fato letal. O denominador vem do PNCT/VMDa, com o volume médio diário anual por unidade, no mesmo referenciamento do SNV, o que dispensa qualquer cruzamento aproximado.</w:t>
      </w:r>
    </w:p>
    <w:p w14:paraId="3315EE1B" w14:textId="77777777" w:rsidR="00EB137B" w:rsidRPr="007670BA" w:rsidRDefault="00000000">
      <w:pPr>
        <w:pStyle w:val="Corpodetexto"/>
      </w:pPr>
      <w:r w:rsidRPr="007670BA">
        <w:t xml:space="preserve">A medida se alinha ao tratamento de exposição que a tese já emprega como </w:t>
      </w:r>
      <w:r w:rsidRPr="007670BA">
        <w:rPr>
          <w:i/>
        </w:rPr>
        <w:t>offset</w:t>
      </w:r>
      <w:r w:rsidRPr="007670BA">
        <w:t xml:space="preserve"> e torna a classificação de trecho crítico defensável na banca. O piloto apresenta o mapa do RN em duas leituras lado a lado, o custo absoluto por quilômetro e o custo por exposição. A diferença entre as duas leituras é, ela mesma, um achado do trabalho, porque revela onde o custo se concentra por volume e onde se concentra por risco.</w:t>
      </w:r>
    </w:p>
    <w:p w14:paraId="6B5C417F" w14:textId="77777777" w:rsidR="00EB137B" w:rsidRPr="007670BA" w:rsidRDefault="00000000">
      <w:pPr>
        <w:pStyle w:val="Ttulo2"/>
        <w:rPr>
          <w:color w:val="auto"/>
        </w:rPr>
      </w:pPr>
      <w:bookmarkStart w:id="7" w:name="correção-de-subregistro-no-mapa"/>
      <w:r w:rsidRPr="007670BA">
        <w:rPr>
          <w:color w:val="auto"/>
        </w:rPr>
        <w:t>6. Correção de subregistro no mapa</w:t>
      </w:r>
      <w:bookmarkEnd w:id="7"/>
    </w:p>
    <w:p w14:paraId="4D498E1C" w14:textId="77777777" w:rsidR="00EB137B" w:rsidRPr="007670BA" w:rsidRDefault="00000000">
      <w:pPr>
        <w:pStyle w:val="FirstParagraph"/>
      </w:pPr>
      <w:r w:rsidRPr="007670BA">
        <w:t xml:space="preserve">A PRF registra menos óbitos que o SIM em parte da malha, e um mapa que ignore isso subestima o custo onde o registro falha. Por isso cada segmento aparece em dois valores: o observado pela PRF e o corrigido pelo fator da aba </w:t>
      </w:r>
      <w:r w:rsidRPr="007670BA">
        <w:rPr>
          <w:rStyle w:val="VerbatimChar"/>
        </w:rPr>
        <w:t>Correcao_Subregistro</w:t>
      </w:r>
      <w:r w:rsidRPr="007670BA">
        <w:t xml:space="preserve">, que reclassifica a série entre os </w:t>
      </w:r>
      <w:r w:rsidRPr="007670BA">
        <w:lastRenderedPageBreak/>
        <w:t>cenários de piso, central e teto. A leitura corrigida impede que a ausência de registro seja lida como ausência de custo.</w:t>
      </w:r>
    </w:p>
    <w:p w14:paraId="19DDB472" w14:textId="77777777" w:rsidR="00EB137B" w:rsidRPr="007670BA" w:rsidRDefault="00000000">
      <w:pPr>
        <w:pStyle w:val="Ttulo2"/>
        <w:rPr>
          <w:color w:val="auto"/>
        </w:rPr>
      </w:pPr>
      <w:bookmarkStart w:id="8" w:name="Xf2fb6e67e9b3b2cece189a71079908801faa42f"/>
      <w:r w:rsidRPr="007670BA">
        <w:rPr>
          <w:color w:val="auto"/>
        </w:rPr>
        <w:t>7. Arquitetura e reuso entre o RN e o Brasil</w:t>
      </w:r>
      <w:bookmarkEnd w:id="8"/>
    </w:p>
    <w:p w14:paraId="69603EF2" w14:textId="77777777" w:rsidR="00EB137B" w:rsidRPr="007670BA" w:rsidRDefault="00000000">
      <w:pPr>
        <w:pStyle w:val="FirstParagraph"/>
      </w:pPr>
      <w:r w:rsidRPr="007670BA">
        <w:t>A arquitetura segue a decisão do ADR-003, o monólito modular, aplicada ao dado. Toda função de cálculo é escrita parametrizada pela unidade da federação, sem o RN embutido no código. O piloto RN é o pipeline nacional com o filtro na sigla do estado, sobre o mesmo esquema, o mesmo referenciamento linear e o mesmo modelo de custo. O que é próprio do RN fica isolado numa camada fina de configuração: a extensão do mapa, os corredores locais das BR-101, BR-304, BR-226 e BR-406, e a validação cruzada com o SIM do estado. Aprofundar no RN é descer ao nível de segmento e de corredor com lógica genérica, de modo que a escala para o Brasil amplie o filtro sem reescrever o núcleo.</w:t>
      </w:r>
    </w:p>
    <w:p w14:paraId="2C5BB955" w14:textId="77777777" w:rsidR="00EB137B" w:rsidRPr="007670BA" w:rsidRDefault="00000000">
      <w:pPr>
        <w:pStyle w:val="Ttulo2"/>
        <w:rPr>
          <w:color w:val="auto"/>
        </w:rPr>
      </w:pPr>
      <w:bookmarkStart w:id="9" w:name="topologia-de-repositórios"/>
      <w:r w:rsidRPr="007670BA">
        <w:rPr>
          <w:color w:val="auto"/>
        </w:rPr>
        <w:t>8. Topologia de repositórios</w:t>
      </w:r>
      <w:bookmarkEnd w:id="9"/>
    </w:p>
    <w:p w14:paraId="55E1CF8A" w14:textId="77777777" w:rsidR="00EB137B" w:rsidRPr="007670BA" w:rsidRDefault="00000000">
      <w:pPr>
        <w:pStyle w:val="FirstParagraph"/>
      </w:pPr>
      <w:r w:rsidRPr="007670BA">
        <w:t xml:space="preserve">O piloto RN entra como uma pasta de projeto final no repositório público da disciplina, </w:t>
      </w:r>
      <w:r w:rsidRPr="007670BA">
        <w:rPr>
          <w:rStyle w:val="VerbatimChar"/>
        </w:rPr>
        <w:t>topicos_especiais_eng_software2</w:t>
      </w:r>
      <w:r w:rsidRPr="007670BA">
        <w:t xml:space="preserve">, onde as três atividades assíncronas já estão e onde o professor acompanha o histórico. Ele carrega o núcleo parametrizado, rodado para o RN, os dados do estado, os mapas, o relatório, os ADRs e os slides. A visibilidade pública é possível porque toda a entrada é </w:t>
      </w:r>
      <w:proofErr w:type="gramStart"/>
      <w:r w:rsidRPr="007670BA">
        <w:t>dado</w:t>
      </w:r>
      <w:proofErr w:type="gramEnd"/>
      <w:r w:rsidRPr="007670BA">
        <w:t xml:space="preserve"> aberto, e as respostas da LAI usadas não têm dado pessoal.</w:t>
      </w:r>
    </w:p>
    <w:p w14:paraId="52E3BCEB" w14:textId="77777777" w:rsidR="00EB137B" w:rsidRPr="007670BA" w:rsidRDefault="00000000">
      <w:pPr>
        <w:pStyle w:val="Corpodetexto"/>
      </w:pPr>
      <w:r w:rsidRPr="007670BA">
        <w:t xml:space="preserve">O escalonamento nacional entra num repositório privado novo, </w:t>
      </w:r>
      <w:r w:rsidRPr="007670BA">
        <w:rPr>
          <w:rStyle w:val="VerbatimChar"/>
        </w:rPr>
        <w:t>custo-social-sinistro-BR</w:t>
      </w:r>
      <w:r w:rsidRPr="007670BA">
        <w:t>, restrito ao aluno, ao coautor e aos dois professores. O resguardo protege o resultado nacional ainda não publicado e a colaboração da tese, já que o código é o mesmo do piloto. O repositório privado consome o núcleo escrito uma vez e guarda os dados de todas as unidades da federação e a análise nacional. Essa divisão preserva o princípio de escala por parâmetro, porque o privado reusa o núcleo do público em vez de manter uma cópia que divergiria. A decisão fica registrada em ADR próprio. Qualquer arquivo com dado pessoal, como o microdado do SIM, permanece fora do controle de versão nos dois repositórios.</w:t>
      </w:r>
    </w:p>
    <w:p w14:paraId="05D370C5" w14:textId="77777777" w:rsidR="00EB137B" w:rsidRPr="007670BA" w:rsidRDefault="00000000">
      <w:pPr>
        <w:pStyle w:val="Ttulo2"/>
        <w:rPr>
          <w:color w:val="auto"/>
        </w:rPr>
      </w:pPr>
      <w:bookmarkStart w:id="10" w:name="plano-por-fases"/>
      <w:r w:rsidRPr="007670BA">
        <w:rPr>
          <w:color w:val="auto"/>
        </w:rPr>
        <w:t>9. Plano por fases</w:t>
      </w:r>
      <w:bookmarkEnd w:id="10"/>
    </w:p>
    <w:p w14:paraId="1B99F08A" w14:textId="77777777" w:rsidR="00EB137B" w:rsidRPr="007670BA" w:rsidRDefault="00000000">
      <w:pPr>
        <w:pStyle w:val="FirstParagraph"/>
      </w:pPr>
      <w:r w:rsidRPr="007670BA">
        <w:t>A primeira fase entrega o modelo de custo em quatro categorias, com a decomposição da classe de feridos e a triangulação contra o Ipea, sobre os dados do RN. A segunda fase entrega a espacialização, com o referenciamento linear dos sinistros do RN nos segmentos do SNV por safra casada. A terceira fase entrega o mapa dos trechos críticos, nas duas leituras de custo por quilômetro e custo por exposição, com a camada de subregistro. A quarta fase entrega o relatório e a apresentação, no formato das atividades anteriores.</w:t>
      </w:r>
    </w:p>
    <w:p w14:paraId="7BAD8FBB" w14:textId="77777777" w:rsidR="00EB137B" w:rsidRPr="007670BA" w:rsidRDefault="00000000">
      <w:pPr>
        <w:pStyle w:val="Corpodetexto"/>
      </w:pPr>
      <w:r w:rsidRPr="007670BA">
        <w:t>O caminho de escala nacional fica documentado como continuidade, com o núcleo já parametrizado e o repositório privado preparado para receber as demais unidades da federação. A escala fica fora da entrega da disciplina e permanece como o desenho que garante o reuso do piloto na tese, sem refação.</w:t>
      </w:r>
    </w:p>
    <w:p w14:paraId="4C700294" w14:textId="77777777" w:rsidR="00EB137B" w:rsidRPr="007670BA" w:rsidRDefault="00000000">
      <w:pPr>
        <w:pStyle w:val="Ttulo2"/>
        <w:rPr>
          <w:color w:val="auto"/>
        </w:rPr>
      </w:pPr>
      <w:bookmarkStart w:id="11" w:name="riscos-e-limites"/>
      <w:r w:rsidRPr="007670BA">
        <w:rPr>
          <w:color w:val="auto"/>
        </w:rPr>
        <w:t>10. Riscos e limites</w:t>
      </w:r>
      <w:bookmarkEnd w:id="11"/>
    </w:p>
    <w:p w14:paraId="001FB52C" w14:textId="77777777" w:rsidR="00EB137B" w:rsidRPr="007670BA" w:rsidRDefault="00000000">
      <w:pPr>
        <w:pStyle w:val="FirstParagraph"/>
      </w:pPr>
      <w:r w:rsidRPr="007670BA">
        <w:t xml:space="preserve">A decomposição do custo depende da completude dos registros de gravidade, que varia entre as unidades da federação, e por isso o piloto assume a triangulação com o SIH e o RENAEST em vez de confiar num registro único. A exposição do PNCT/VMDa cobre a rede federal amostrada, e os segmentos sem posto de contagem recebem a exposição por imputação declarada no método. A safra </w:t>
      </w:r>
      <w:r w:rsidRPr="007670BA">
        <w:lastRenderedPageBreak/>
        <w:t xml:space="preserve">do SNV precisa </w:t>
      </w:r>
      <w:proofErr w:type="gramStart"/>
      <w:r w:rsidRPr="007670BA">
        <w:t>casar</w:t>
      </w:r>
      <w:proofErr w:type="gramEnd"/>
      <w:r w:rsidRPr="007670BA">
        <w:t xml:space="preserve"> com o ano do sinistro, e o pipeline trata o descasamento de safra como erro que interrompe o cálculo. As respostas de pavimento e de exposição ainda pendentes na LAI entram como caso previsto, sem quebrar o cálculo que já roda.</w:t>
      </w:r>
    </w:p>
    <w:sectPr w:rsidR="00EB137B" w:rsidRPr="007670B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339EB" w14:textId="77777777" w:rsidR="00A142A0" w:rsidRDefault="00A142A0">
      <w:r>
        <w:separator/>
      </w:r>
    </w:p>
  </w:endnote>
  <w:endnote w:type="continuationSeparator" w:id="0">
    <w:p w14:paraId="74389E54" w14:textId="77777777" w:rsidR="00A142A0" w:rsidRDefault="00A1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F30A9" w14:textId="77777777" w:rsidR="00A142A0" w:rsidRDefault="00A142A0">
      <w:r>
        <w:separator/>
      </w:r>
    </w:p>
  </w:footnote>
  <w:footnote w:type="continuationSeparator" w:id="0">
    <w:p w14:paraId="4A683AED" w14:textId="77777777" w:rsidR="00A142A0" w:rsidRDefault="00A14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79A424C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54906C54"/>
    <w:multiLevelType w:val="hybridMultilevel"/>
    <w:tmpl w:val="453687E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2583317">
    <w:abstractNumId w:val="0"/>
  </w:num>
  <w:num w:numId="2" w16cid:durableId="1228613552">
    <w:abstractNumId w:val="1"/>
  </w:num>
  <w:num w:numId="3" w16cid:durableId="202034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E693C"/>
    <w:rsid w:val="004E29B3"/>
    <w:rsid w:val="00590D07"/>
    <w:rsid w:val="007670BA"/>
    <w:rsid w:val="00784D58"/>
    <w:rsid w:val="008D6863"/>
    <w:rsid w:val="00A142A0"/>
    <w:rsid w:val="00B86B75"/>
    <w:rsid w:val="00BC48D5"/>
    <w:rsid w:val="00C36279"/>
    <w:rsid w:val="00E315A3"/>
    <w:rsid w:val="00EB137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1EF1"/>
  <w15:docId w15:val="{1E3D2599-588E-4658-8E6D-94CCFE61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120"/>
      <w:jc w:val="center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12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12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12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  <w:ind w:firstLine="72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00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00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tuloChar">
    <w:name w:val="Título Char"/>
    <w:basedOn w:val="Fontepargpadro"/>
    <w:link w:val="Ttulo"/>
    <w:rsid w:val="00D71C7F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1575</Words>
  <Characters>8510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da Atividade Assíncrona 1 — Configuração do Ambiente e Fluxo de Trabalho com IA</vt:lpstr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Flávio Eduardo Batista Moreira</cp:lastModifiedBy>
  <cp:revision>2</cp:revision>
  <dcterms:created xsi:type="dcterms:W3CDTF">2026-09-06T17:09:00Z</dcterms:created>
  <dcterms:modified xsi:type="dcterms:W3CDTF">2026-09-06T17:12:00Z</dcterms:modified>
</cp:coreProperties>
</file>