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fraDevTitle"/>
        <w:jc w:val="left"/>
      </w:pPr>
      <w:r>
        <w:t>ANNEXES — TEMPLATES OPÉRATIONNELS</w:t>
      </w:r>
    </w:p>
    <w:p>
      <w:pPr>
        <w:spacing w:after="200"/>
      </w:pPr>
      <w:r>
        <w:rPr>
          <w:b/>
          <w:color w:val="1F2A44"/>
          <w:sz w:val="24"/>
        </w:rPr>
        <w:t>Mission LTA / AMO — Relance Unité d’Engrais (Boma / Triomf RDC)</w:t>
      </w:r>
    </w:p>
    <w:p>
      <w:pPr>
        <w:spacing w:after="320"/>
      </w:pPr>
      <w:r>
        <w:rPr>
          <w:b/>
          <w:sz w:val="22"/>
        </w:rPr>
        <w:t>Jeux de documents: registre actifs • certificat service fait • grille décaissement • rapport mensuel • ESG/HSE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2A44"/>
            <w:tcBorders>
              <w:left w:sz="0" w:val="nil"/>
              <w:top w:sz="0" w:val="nil"/>
              <w:right w:sz="0" w:val="nil"/>
              <w:bottom w:sz="0" w:val="nil"/>
            </w:tcBorders>
          </w:tcPr>
          <w:p>
            <w:pPr>
              <w:spacing w:after="0" w:before="0"/>
            </w:pPr>
            <w:r>
              <w:rPr>
                <w:b/>
                <w:color w:val="FFFFFF"/>
                <w:sz w:val="20"/>
              </w:rPr>
              <w:t>CONFIDENTIEL — OUTILS DE CONTRÔLE</w:t>
            </w:r>
          </w:p>
        </w:tc>
      </w:tr>
    </w:tbl>
    <w:p>
      <w:r/>
    </w:p>
    <w:p>
      <w:pPr>
        <w:pStyle w:val="InfraDevSmall"/>
      </w:pPr>
      <w:r>
        <w:t>Version: v1.1 | Date: 11 février 2026</w:t>
      </w:r>
    </w:p>
    <w:p>
      <w:pPr>
        <w:pStyle w:val="InfraDevSmall"/>
      </w:pPr>
      <w:r>
        <w:t>Auteur: InfraDev.Africa — Key Expert: Ted Kivoto Isengingo</w:t>
      </w:r>
    </w:p>
    <w:p>
      <w:pPr>
        <w:pStyle w:val="InfraDevSmall"/>
      </w:pPr>
      <w:r>
        <w:t>Tags: #InfraDev #FPI #Boma #Triomf #AFRICOM #AMO #LTA #VerrouDeControle #BCC #IGF #PPP</w:t>
      </w:r>
    </w:p>
    <w:p>
      <w:r>
        <w:br w:type="page"/>
      </w:r>
    </w:p>
    <w:p>
      <w:pPr>
        <w:pStyle w:val="Heading1"/>
      </w:pPr>
      <w:r>
        <w:t>Annexe 1 — Registre des actifs (Asset Register)</w:t>
      </w:r>
    </w:p>
    <w:p>
      <w:pPr>
        <w:pStyle w:val="InfraDevSmall"/>
        <w:spacing w:after="120"/>
      </w:pPr>
      <w:r>
        <w:rPr>
          <w:i/>
        </w:rPr>
        <w:t>But: prouver l’existence, l’état et la traçabilité des équipements (avant et après investissement).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ID</w:t>
            </w:r>
          </w:p>
        </w:tc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Équipement / Description</w:t>
            </w:r>
          </w:p>
        </w:tc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Marque/Modèle</w:t>
            </w:r>
          </w:p>
        </w:tc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N° Série</w:t>
            </w:r>
          </w:p>
        </w:tc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Qté</w:t>
            </w:r>
          </w:p>
        </w:tc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Localisation</w:t>
            </w:r>
          </w:p>
        </w:tc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État</w:t>
            </w:r>
          </w:p>
        </w:tc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Preuves (photo/doc)</w:t>
            </w:r>
          </w:p>
        </w:tc>
        <w:tc>
          <w:tcPr>
            <w:tcW w:type="dxa" w:w="108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Commentaires</w:t>
            </w:r>
          </w:p>
        </w:tc>
      </w:tr>
      <w:tr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08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Annexe 2 — Certificat de service fait / Avis de conformité</w:t>
      </w:r>
    </w:p>
    <w:p>
      <w:pPr>
        <w:pStyle w:val="InfraDevSmall"/>
        <w:spacing w:after="120"/>
      </w:pPr>
      <w:r>
        <w:rPr>
          <w:i/>
        </w:rPr>
        <w:t>À utiliser pour chaque demande de paiement. Le certificat est requis avant visa « Bon à payer ».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Référence facture / situation</w:t>
            </w:r>
          </w:p>
        </w:tc>
        <w:tc>
          <w:tcPr>
            <w:tcW w:type="dxa" w:w="6520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[à compléter]</w:t>
            </w:r>
          </w:p>
        </w:tc>
      </w:tr>
      <w:tr>
        <w:tc>
          <w:tcPr>
            <w:tcW w:type="dxa" w:w="2551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Fournisseur</w:t>
            </w:r>
          </w:p>
        </w:tc>
        <w:tc>
          <w:tcPr>
            <w:tcW w:type="dxa" w:w="6520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[à compléter]</w:t>
            </w:r>
          </w:p>
        </w:tc>
      </w:tr>
      <w:tr>
        <w:tc>
          <w:tcPr>
            <w:tcW w:type="dxa" w:w="2551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Lot / BOQ / Ligne CAPEX</w:t>
            </w:r>
          </w:p>
        </w:tc>
        <w:tc>
          <w:tcPr>
            <w:tcW w:type="dxa" w:w="6520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[à compléter]</w:t>
            </w:r>
          </w:p>
        </w:tc>
      </w:tr>
      <w:tr>
        <w:tc>
          <w:tcPr>
            <w:tcW w:type="dxa" w:w="2551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Période / Date</w:t>
            </w:r>
          </w:p>
        </w:tc>
        <w:tc>
          <w:tcPr>
            <w:tcW w:type="dxa" w:w="6520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[à compléter]</w:t>
            </w:r>
          </w:p>
        </w:tc>
      </w:tr>
      <w:tr>
        <w:tc>
          <w:tcPr>
            <w:tcW w:type="dxa" w:w="2551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Montant demandé</w:t>
            </w:r>
          </w:p>
        </w:tc>
        <w:tc>
          <w:tcPr>
            <w:tcW w:type="dxa" w:w="6520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[à compléter]</w:t>
            </w:r>
          </w:p>
        </w:tc>
      </w:tr>
    </w:tbl>
    <w:p/>
    <w:p>
      <w:pPr>
        <w:pStyle w:val="Heading2"/>
      </w:pPr>
      <w:r>
        <w:t>Constats &amp; vérifications</w:t>
      </w:r>
    </w:p>
    <w:p>
      <w:pPr>
        <w:pStyle w:val="ListBullet"/>
        <w:spacing w:after="40"/>
        <w:ind w:left="425"/>
      </w:pPr>
      <w:r>
        <w:t>Preuves documentaires reçues et vérifiées (BL, PV, fiches techniques, certificats, etc.).</w:t>
      </w:r>
    </w:p>
    <w:p>
      <w:pPr>
        <w:pStyle w:val="ListBullet"/>
        <w:spacing w:after="40"/>
        <w:ind w:left="425"/>
      </w:pPr>
      <w:r>
        <w:t>Preuves terrain (photos, géolocalisation, inspection physique, témoins contradictoires).</w:t>
      </w:r>
    </w:p>
    <w:p>
      <w:pPr>
        <w:pStyle w:val="ListBullet"/>
        <w:spacing w:after="40"/>
        <w:ind w:left="425"/>
      </w:pPr>
      <w:r>
        <w:t>Cohérence quantité / spécification / installation / mise en service (si applicable).</w:t>
      </w:r>
    </w:p>
    <w:p>
      <w:pPr>
        <w:pStyle w:val="Heading2"/>
      </w:pPr>
      <w:r>
        <w:t>Décision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Décision</w:t>
            </w:r>
          </w:p>
        </w:tc>
        <w:tc>
          <w:tcPr>
            <w:tcW w:type="dxa" w:w="487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☐ Conforme — Visa « Bon à Payer »</w:t>
              <w:br/>
              <w:t>☐ Non conforme — Paiement bloqué</w:t>
              <w:br/>
              <w:t>☐ Conforme sous réserve (actions correctives)</w:t>
            </w:r>
          </w:p>
        </w:tc>
      </w:tr>
      <w:tr>
        <w:tc>
          <w:tcPr>
            <w:tcW w:type="dxa" w:w="487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Motifs / Observations</w:t>
            </w:r>
          </w:p>
        </w:tc>
        <w:tc>
          <w:tcPr>
            <w:tcW w:type="dxa" w:w="487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487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Actions correctives attendues</w:t>
            </w:r>
          </w:p>
        </w:tc>
        <w:tc>
          <w:tcPr>
            <w:tcW w:type="dxa" w:w="487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487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Visa InfraDev (LTA)</w:t>
            </w:r>
          </w:p>
        </w:tc>
        <w:tc>
          <w:tcPr>
            <w:tcW w:type="dxa" w:w="4873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Nom: ____________________</w:t>
              <w:br/>
              <w:t>Signature: _______________</w:t>
              <w:br/>
              <w:t>Date: 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Annexe 3 — Grille de contrôle des décaissements (Disbursement Control Grid)</w:t>
      </w:r>
    </w:p>
    <w:p>
      <w:pPr>
        <w:pStyle w:val="InfraDevSmall"/>
      </w:pPr>
      <w:r>
        <w:t>Note: la grille vise la traçabilité des paiements vers des actifs (CAPEX-&gt;assets) et la conformité documentaire. Elle ne constitue pas une validation de performance commerciale.</w:t>
      </w:r>
    </w:p>
    <w:p>
      <w:pPr>
        <w:pStyle w:val="InfraDevSmall"/>
        <w:spacing w:after="120"/>
      </w:pPr>
      <w:r>
        <w:rPr>
          <w:i/>
        </w:rPr>
        <w:t>But: relier chaque paiement à une preuve physique, une ligne budgétaire et une décision de contrôle.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N°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Facture/Ref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Fournisseur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Ligne CAPEX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Objet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Montant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Preuves physiques (actif/serial/photo)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Pièces conformité (contrat/BOQ/IB/IS/OCC)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Décision LTA</w:t>
            </w:r>
          </w:p>
        </w:tc>
        <w:tc>
          <w:tcPr>
            <w:tcW w:type="dxa" w:w="975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Commentaires</w:t>
            </w:r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1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2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3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4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5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6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7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8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t>9</w:t>
            </w:r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975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Annexe 4 — Rapport mensuel (outline)</w:t>
      </w:r>
    </w:p>
    <w:p>
      <w:pPr>
        <w:pStyle w:val="InfraDevSmall"/>
        <w:spacing w:after="120"/>
      </w:pPr>
      <w:r>
        <w:rPr>
          <w:i/>
        </w:rPr>
        <w:t>Structure recommandée (5–12 pages selon intensité du mois).</w:t>
      </w:r>
    </w:p>
    <w:p>
      <w:pPr>
        <w:pStyle w:val="ListBullet"/>
        <w:spacing w:after="40"/>
        <w:ind w:left="425"/>
      </w:pPr>
      <w:r>
        <w:t>1. Résumé exécutif (1 page): décisions, risques rouges, paiements certifiés / bloqués.</w:t>
      </w:r>
    </w:p>
    <w:p>
      <w:pPr>
        <w:pStyle w:val="ListBullet"/>
        <w:spacing w:after="40"/>
        <w:ind w:left="425"/>
      </w:pPr>
      <w:r>
        <w:t>2. Avancement / preuves physiques: travaux réalisés, équipements reçus/posés, photos clés, numéros de série.</w:t>
      </w:r>
    </w:p>
    <w:p>
      <w:pPr>
        <w:pStyle w:val="ListBullet"/>
        <w:spacing w:after="40"/>
        <w:ind w:left="425"/>
      </w:pPr>
      <w:r>
        <w:t>3. Traçabilité CAPEX: décaissements, engagements, pièces justificatives (incl. IB/IS/OCC si applicable), écarts vs budget.</w:t>
      </w:r>
    </w:p>
    <w:p>
      <w:pPr>
        <w:pStyle w:val="ListBullet"/>
        <w:spacing w:after="40"/>
        <w:ind w:left="425"/>
      </w:pPr>
      <w:r>
        <w:t>4. Conformité: chaîne documentaire, non-conformités, actions correctives, route procédurale (normale vs exceptionnelle) si applicable.</w:t>
      </w:r>
    </w:p>
    <w:p>
      <w:pPr>
        <w:pStyle w:val="ListBullet"/>
        <w:spacing w:after="40"/>
        <w:ind w:left="425"/>
      </w:pPr>
      <w:r>
        <w:t>5. Logistique (si applicable): pré-shipment, transport, réception, traçabilité.</w:t>
      </w:r>
    </w:p>
    <w:p>
      <w:pPr>
        <w:pStyle w:val="ListBullet"/>
        <w:spacing w:after="40"/>
        <w:ind w:left="425"/>
      </w:pPr>
      <w:r>
        <w:t>6. Risques &amp; mitigations: matrice mise à jour + recommandations.</w:t>
      </w:r>
    </w:p>
    <w:p>
      <w:pPr>
        <w:pStyle w:val="ListBullet"/>
        <w:spacing w:after="40"/>
        <w:ind w:left="425"/>
      </w:pPr>
      <w:r>
        <w:t>7. (Option) ESG/HSE: incidents, sécurité, déchets/effluents, correctifs.</w:t>
      </w:r>
    </w:p>
    <w:p>
      <w:pPr>
        <w:pStyle w:val="ListBullet"/>
        <w:spacing w:after="40"/>
        <w:ind w:left="425"/>
      </w:pPr>
      <w:r>
        <w:t>Annexes: registre actifs (delta), grilles, certificats, PV, photos.</w:t>
      </w:r>
    </w:p>
    <w:p>
      <w:r>
        <w:br w:type="page"/>
      </w:r>
    </w:p>
    <w:p>
      <w:pPr>
        <w:pStyle w:val="Heading1"/>
      </w:pPr>
      <w:r>
        <w:t>Annexe 5 — Registre ESG / E&amp;S / HSE (option)</w:t>
      </w:r>
    </w:p>
    <w:p>
      <w:pPr>
        <w:pStyle w:val="InfraDevSmall"/>
        <w:spacing w:after="120"/>
      </w:pPr>
      <w:r>
        <w:rPr>
          <w:i/>
        </w:rPr>
        <w:t>Format minimal compatible avec exigences DFI / IGF / BCC (si demandé).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ID</w:t>
            </w:r>
          </w:p>
        </w:tc>
        <w:tc>
          <w:tcPr>
            <w:tcW w:type="dxa" w:w="1218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Risque</w:t>
            </w:r>
          </w:p>
        </w:tc>
        <w:tc>
          <w:tcPr>
            <w:tcW w:type="dxa" w:w="1218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Catégorie</w:t>
            </w:r>
          </w:p>
        </w:tc>
        <w:tc>
          <w:tcPr>
            <w:tcW w:type="dxa" w:w="1218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Prob.</w:t>
            </w:r>
          </w:p>
        </w:tc>
        <w:tc>
          <w:tcPr>
            <w:tcW w:type="dxa" w:w="1218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Impact</w:t>
            </w:r>
          </w:p>
        </w:tc>
        <w:tc>
          <w:tcPr>
            <w:tcW w:type="dxa" w:w="1218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Niveau</w:t>
            </w:r>
          </w:p>
        </w:tc>
        <w:tc>
          <w:tcPr>
            <w:tcW w:type="dxa" w:w="1218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Mesure</w:t>
            </w:r>
          </w:p>
        </w:tc>
        <w:tc>
          <w:tcPr>
            <w:tcW w:type="dxa" w:w="1218"/>
            <w:shd w:val="clear" w:color="auto" w:fill="F3F4F6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>
              <w:rPr>
                <w:b/>
                <w:color w:val="1F2A44"/>
              </w:rPr>
              <w:t>Responsable / Échéance</w:t>
            </w:r>
          </w:p>
        </w:tc>
      </w:tr>
      <w:tr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  <w:tr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  <w:tc>
          <w:tcPr>
            <w:tcW w:type="dxa" w:w="1218"/>
            <w:tcBorders>
              <w:left w:sz="6" w:val="single" w:color="E5E7EB"/>
              <w:top w:sz="6" w:val="single" w:color="E5E7EB"/>
              <w:right w:sz="6" w:val="single" w:color="E5E7EB"/>
              <w:bottom w:sz="6" w:val="single" w:color="E5E7EB"/>
            </w:tcBorders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Annexe 6 — Checklist J0–J15 (mise en route du contrôle)</w:t>
      </w:r>
    </w:p>
    <w:p>
      <w:r>
        <w:t>☐ OS signé + mandat d’accès (site Boma + fournisseurs RSA).</w:t>
      </w:r>
    </w:p>
    <w:p>
      <w:r>
        <w:t>☐ Point focal DG FPI désigné (canal direct).</w:t>
      </w:r>
    </w:p>
    <w:p>
      <w:r>
        <w:t>☐ Data-room minimum: contrats, BOQ, budget, calendrier, liste fournisseurs, situation des paiements.</w:t>
      </w:r>
    </w:p>
    <w:p>
      <w:r>
        <w:t>☐ Plan de visite Boma (inventaire contradictoire) + équipe locale d’appui.</w:t>
      </w:r>
    </w:p>
    <w:p>
      <w:r>
        <w:t>☐ Plan de visite RSA (pré-shipment / audit fournisseur) si pertinent.</w:t>
      </w:r>
    </w:p>
    <w:p>
      <w:r>
        <w:t>☐ Templates validés: registre actifs, certificat service fait, grille décaissement, rapport mensuel.</w:t>
      </w:r>
    </w:p>
    <w:p>
      <w:r>
        <w:t>☐ Note « Flash » (2–3 pages) prête pour BCC: dispositif actif + mesures de mitigation.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InfraDevSmall"/>
      <w:jc w:val="center"/>
    </w:pPr>
    <w:r>
      <w:t>Annexes — Templates opérationnels (LTA/AMO) — v1.0 — 2026-02-11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vMerge w:val="restart"/>
        </w:tcPr>
        <w:p>
          <w:pPr>
            <w:spacing w:after="0"/>
          </w:pPr>
          <w:r>
            <w:rPr>
              <w:b/>
              <w:color w:val="1F2A44"/>
              <w:sz w:val="24"/>
            </w:rPr>
            <w:t>InfraDev.Africa</w:t>
          </w:r>
        </w:p>
        <w:p>
          <w:pPr>
            <w:pStyle w:val="InfraDevSmall"/>
            <w:spacing w:after="0"/>
          </w:pPr>
          <w:r>
            <w:t>Institutional Grade Advisory</w:t>
          </w:r>
        </w:p>
        <w:p>
          <w:pPr>
            <w:pStyle w:val="InfraDevSmall"/>
            <w:spacing w:after="0"/>
          </w:pPr>
          <w:r>
            <w:t>Feasibility • PPP / Delivery Structuring • Master Planning</w:t>
          </w:r>
        </w:p>
      </w:tc>
      <w:tc>
        <w:tcPr>
          <w:tcW w:type="dxa" w:w="4680"/>
          <w:vMerge w:val="restart"/>
        </w:tcPr>
        <w:p>
          <w:pPr>
            <w:spacing w:after="0"/>
            <w:jc w:val="right"/>
          </w:pPr>
          <w:r>
            <w:rPr>
              <w:b/>
              <w:color w:val="6B7280"/>
              <w:sz w:val="18"/>
            </w:rPr>
            <w:t>Kumea Africa Holding SARL</w:t>
          </w:r>
        </w:p>
        <w:p>
          <w:pPr>
            <w:pStyle w:val="InfraDevSmall"/>
            <w:spacing w:after="0"/>
            <w:jc w:val="right"/>
          </w:pPr>
          <w:r>
            <w:t>RCCM: CD/KNG/RCCM/24-B-01462 | IDNAT: 01-A0101-N49087K</w:t>
          </w:r>
        </w:p>
        <w:p>
          <w:pPr>
            <w:pStyle w:val="InfraDevSmall"/>
            <w:spacing w:after="0"/>
            <w:jc w:val="right"/>
          </w:pPr>
          <w:r>
            <w:t>15 Avenue du Grand Séminaire, Q/Nganda, C/Kintámbó, Kinshasa, RDC</w:t>
          </w:r>
        </w:p>
        <w:p>
          <w:pPr>
            <w:pStyle w:val="InfraDevSmall"/>
            <w:jc w:val="right"/>
          </w:pPr>
          <w:r>
            <w:t>info@infradev.africa | +243 89 11 87 001</w:t>
          </w:r>
        </w:p>
      </w:tc>
    </w:tr>
    <w:tr>
      <w:tc>
        <w:tcPr>
          <w:tcW w:type="dxa" w:w="4680"/>
          <w:vMerge/>
        </w:tcPr>
        <w:p/>
      </w:tc>
      <w:tc>
        <w:tcPr>
          <w:tcW w:type="dxa" w:w="4680"/>
          <w:vMerge/>
        </w:tcPr>
        <w:p/>
      </w:tc>
    </w:tr>
  </w:tbl>
  <w:p>
    <w:pPr>
      <w:pBdr>
        <w:bottom w:val="single" w:sz="10" w:space="1" w:color="1F2A44"/>
      </w:pBdr>
      <w:spacing w:after="4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fraDevTitle">
    <w:name w:val="InfraDev Title"/>
    <w:basedOn w:val="Title"/>
    <w:pPr>
      <w:spacing w:after="200" w:line="252" w:lineRule="auto"/>
    </w:pPr>
    <w:rPr>
      <w:rFonts w:ascii="Calibri" w:hAnsi="Calibri"/>
      <w:b/>
      <w:color w:val="1F2A44"/>
      <w:sz w:val="40"/>
    </w:rPr>
  </w:style>
  <w:style w:type="paragraph" w:customStyle="1" w:styleId="InfraDevSmall">
    <w:name w:val="InfraDev Small"/>
    <w:pPr>
      <w:spacing w:after="40" w:line="240" w:lineRule="auto"/>
    </w:pPr>
    <w:rPr>
      <w:rFonts w:ascii="Calibri" w:hAnsi="Calibr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