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InfraDevTitle"/>
        <w:jc w:val="left"/>
      </w:pPr>
      <w:r>
        <w:t>HEADS OF TERMS (HoT) — MISSION LTA / AMO (TRIPARTITE)</w:t>
      </w:r>
    </w:p>
    <w:p>
      <w:pPr>
        <w:spacing w:after="200"/>
      </w:pPr>
      <w:r>
        <w:rPr>
          <w:b/>
          <w:color w:val="1F2A44"/>
          <w:sz w:val="24"/>
        </w:rPr>
        <w:t>Contrôle technique &amp; financier — « Verrou de contrôle »</w:t>
        <w:br/>
        <w:t>(Fondé de pouvoir technique | Reporting DG FPI)</w:t>
      </w:r>
    </w:p>
    <w:p>
      <w:pPr>
        <w:spacing w:after="320"/>
      </w:pPr>
      <w:r>
        <w:rPr>
          <w:b/>
          <w:sz w:val="22"/>
        </w:rPr>
        <w:t>Projet : Relance de l’Unité de Production d’Engrais (Boma / Triomf RDC)</w:t>
      </w:r>
    </w:p>
    <w:tbl>
      <w:tblPr>
        <w:tblW w:type="auto" w:w="0"/>
        <w:jc w:val="left"/>
        <w:tblLook w:firstColumn="1" w:firstRow="1" w:lastColumn="0" w:lastRow="0" w:noHBand="0" w:noVBand="1" w:val="04A0"/>
      </w:tblPr>
      <w:tblGrid>
        <w:gridCol w:w="9746"/>
      </w:tblGrid>
      <w:tr>
        <w:tc>
          <w:tcPr>
            <w:tcW w:type="dxa" w:w="9746"/>
            <w:shd w:val="clear" w:color="auto" w:fill="1F2A44"/>
            <w:tcBorders>
              <w:left w:sz="0" w:val="nil"/>
              <w:top w:sz="0" w:val="nil"/>
              <w:right w:sz="0" w:val="nil"/>
              <w:bottom w:sz="0" w:val="nil"/>
            </w:tcBorders>
          </w:tcPr>
          <w:p>
            <w:pPr>
              <w:spacing w:after="0" w:before="0"/>
            </w:pPr>
            <w:r>
              <w:rPr>
                <w:b/>
                <w:color w:val="FFFFFF"/>
                <w:sz w:val="20"/>
              </w:rPr>
              <w:t>CONFIDENTIEL — DRAFT DE NÉGOCIATION</w:t>
            </w:r>
          </w:p>
        </w:tc>
      </w:tr>
    </w:tbl>
    <w:p>
      <w:r/>
    </w:p>
    <w:p>
      <w:pPr>
        <w:pStyle w:val="InfraDevSmall"/>
      </w:pPr>
      <w:r>
        <w:t>Version: v1.1 | Date: 11 février 2026</w:t>
      </w:r>
    </w:p>
    <w:p>
      <w:pPr>
        <w:pStyle w:val="InfraDevSmall"/>
      </w:pPr>
      <w:r>
        <w:t>Auteur: InfraDev.Africa — Key Expert: Ted Kivoto Isengingo</w:t>
      </w:r>
    </w:p>
    <w:p>
      <w:pPr>
        <w:pStyle w:val="InfraDevSmall"/>
      </w:pPr>
      <w:r>
        <w:t>Tags: #InfraDev #FPI #Boma #Triomf #AFRICOM #AMO #LTA #VerrouDeControle #BCC #IGF #PPP</w:t>
      </w:r>
    </w:p>
    <w:p>
      <w:r>
        <w:br w:type="page"/>
      </w:r>
    </w:p>
    <w:p>
      <w:pPr>
        <w:pStyle w:val="Heading1"/>
      </w:pPr>
      <w:r>
        <w:t>1. Objet du document</w:t>
      </w:r>
    </w:p>
    <w:p>
      <w:r>
        <w:t>Le présent Heads of Terms (HoT) fixe les principes commerciaux et opérationnels de la mission de contrôle indépendant (LTA/AMO) réalisée par InfraDev.Africa, dans un schéma où la rémunération est budgétée au projet (CAPEX) et sécurisée via un mécanisme de paiement indépendant (compte séquestre/escrow) afin d’éviter toute capture par l’opérateur, avec un reporting exclusif au Directeur Général du FPI.</w:t>
      </w:r>
    </w:p>
    <w:p>
      <w:pPr>
        <w:pStyle w:val="Heading1"/>
      </w:pPr>
      <w:r>
        <w:t>2. Parties (à confirmer)</w:t>
      </w:r>
    </w:p>
    <w:tbl>
      <w:tblPr>
        <w:tblW w:type="auto" w:w="0"/>
        <w:jc w:val="left"/>
        <w:tblLayout w:type="fixed"/>
        <w:tblLook w:firstColumn="1" w:firstRow="1" w:lastColumn="0" w:lastRow="0" w:noHBand="0" w:noVBand="1" w:val="04A0"/>
      </w:tblPr>
      <w:tblGrid>
        <w:gridCol w:w="4873"/>
        <w:gridCol w:w="4873"/>
      </w:tblGrid>
      <w:tr>
        <w:tc>
          <w:tcPr>
            <w:tcW w:type="dxa" w:w="2551"/>
            <w:tcBorders>
              <w:left w:sz="6" w:val="single" w:color="E5E7EB"/>
              <w:top w:sz="6" w:val="single" w:color="E5E7EB"/>
              <w:right w:sz="6" w:val="single" w:color="E5E7EB"/>
              <w:bottom w:sz="6" w:val="single" w:color="E5E7EB"/>
            </w:tcBorders>
          </w:tcPr>
          <w:p>
            <w:r>
              <w:rPr>
                <w:b/>
                <w:color w:val="1F2A44"/>
              </w:rPr>
              <w:t>Bailleur / Autorité de contrôle</w:t>
            </w:r>
          </w:p>
        </w:tc>
        <w:tc>
          <w:tcPr>
            <w:tcW w:type="dxa" w:w="6520"/>
            <w:tcBorders>
              <w:left w:sz="6" w:val="single" w:color="E5E7EB"/>
              <w:top w:sz="6" w:val="single" w:color="E5E7EB"/>
              <w:right w:sz="6" w:val="single" w:color="E5E7EB"/>
              <w:bottom w:sz="6" w:val="single" w:color="E5E7EB"/>
            </w:tcBorders>
          </w:tcPr>
          <w:p>
            <w:r>
              <w:t>Fonds de Promotion de l’Industrie (FPI) — Direction Générale</w:t>
            </w:r>
          </w:p>
        </w:tc>
      </w:tr>
      <w:tr>
        <w:tc>
          <w:tcPr>
            <w:tcW w:type="dxa" w:w="2551"/>
            <w:tcBorders>
              <w:left w:sz="6" w:val="single" w:color="E5E7EB"/>
              <w:top w:sz="6" w:val="single" w:color="E5E7EB"/>
              <w:right w:sz="6" w:val="single" w:color="E5E7EB"/>
              <w:bottom w:sz="6" w:val="single" w:color="E5E7EB"/>
            </w:tcBorders>
          </w:tcPr>
          <w:p>
            <w:r>
              <w:rPr>
                <w:b/>
                <w:color w:val="1F2A44"/>
              </w:rPr>
              <w:t>Entreprise projet / Payeur</w:t>
            </w:r>
          </w:p>
        </w:tc>
        <w:tc>
          <w:tcPr>
            <w:tcW w:type="dxa" w:w="6520"/>
            <w:tcBorders>
              <w:left w:sz="6" w:val="single" w:color="E5E7EB"/>
              <w:top w:sz="6" w:val="single" w:color="E5E7EB"/>
              <w:right w:sz="6" w:val="single" w:color="E5E7EB"/>
              <w:bottom w:sz="6" w:val="single" w:color="E5E7EB"/>
            </w:tcBorders>
          </w:tcPr>
          <w:p>
            <w:r>
              <w:t>AFRICOM [raison sociale complète + RCCM/IDNAT + adresse]</w:t>
            </w:r>
          </w:p>
        </w:tc>
      </w:tr>
      <w:tr>
        <w:tc>
          <w:tcPr>
            <w:tcW w:type="dxa" w:w="2551"/>
            <w:tcBorders>
              <w:left w:sz="6" w:val="single" w:color="E5E7EB"/>
              <w:top w:sz="6" w:val="single" w:color="E5E7EB"/>
              <w:right w:sz="6" w:val="single" w:color="E5E7EB"/>
              <w:bottom w:sz="6" w:val="single" w:color="E5E7EB"/>
            </w:tcBorders>
          </w:tcPr>
          <w:p>
            <w:r>
              <w:rPr>
                <w:b/>
                <w:color w:val="1F2A44"/>
              </w:rPr>
              <w:t>Partenaire technique / Exécutant</w:t>
            </w:r>
          </w:p>
        </w:tc>
        <w:tc>
          <w:tcPr>
            <w:tcW w:type="dxa" w:w="6520"/>
            <w:tcBorders>
              <w:left w:sz="6" w:val="single" w:color="E5E7EB"/>
              <w:top w:sz="6" w:val="single" w:color="E5E7EB"/>
              <w:right w:sz="6" w:val="single" w:color="E5E7EB"/>
              <w:bottom w:sz="6" w:val="single" w:color="E5E7EB"/>
            </w:tcBorders>
          </w:tcPr>
          <w:p>
            <w:r>
              <w:t>Triomf RDC / Triomf SA [détails à confirmer]</w:t>
            </w:r>
          </w:p>
        </w:tc>
      </w:tr>
      <w:tr>
        <w:tc>
          <w:tcPr>
            <w:tcW w:type="dxa" w:w="2551"/>
            <w:tcBorders>
              <w:left w:sz="6" w:val="single" w:color="E5E7EB"/>
              <w:top w:sz="6" w:val="single" w:color="E5E7EB"/>
              <w:right w:sz="6" w:val="single" w:color="E5E7EB"/>
              <w:bottom w:sz="6" w:val="single" w:color="E5E7EB"/>
            </w:tcBorders>
          </w:tcPr>
          <w:p>
            <w:r>
              <w:rPr>
                <w:b/>
                <w:color w:val="1F2A44"/>
              </w:rPr>
              <w:t>Conseil / Contrôleur (LTA)</w:t>
            </w:r>
          </w:p>
        </w:tc>
        <w:tc>
          <w:tcPr>
            <w:tcW w:type="dxa" w:w="6520"/>
            <w:tcBorders>
              <w:left w:sz="6" w:val="single" w:color="E5E7EB"/>
              <w:top w:sz="6" w:val="single" w:color="E5E7EB"/>
              <w:right w:sz="6" w:val="single" w:color="E5E7EB"/>
              <w:bottom w:sz="6" w:val="single" w:color="E5E7EB"/>
            </w:tcBorders>
          </w:tcPr>
          <w:p>
            <w:r>
              <w:t>InfraDev.Africa (Kumea Africa Holding SARL) — RCCM: CD/KNG/RCCM/24-B-01462 | IDNAT: 01-A0101-N49087K</w:t>
            </w:r>
          </w:p>
        </w:tc>
      </w:tr>
    </w:tbl>
    <w:p/>
    <w:p>
      <w:pPr>
        <w:pStyle w:val="Heading1"/>
      </w:pPr>
      <w:r>
        <w:t>3. Gouvernance &amp; indépendance</w:t>
      </w:r>
    </w:p>
    <w:p>
      <w:pPr>
        <w:pStyle w:val="ListBullet"/>
        <w:spacing w:after="40"/>
        <w:ind w:left="425"/>
      </w:pPr>
      <w:r>
        <w:t>InfraDev agit comme tiers de confiance technique: ses certifications conditionnent les paiements (« no cert = no pay »).</w:t>
      </w:r>
    </w:p>
    <w:p>
      <w:pPr>
        <w:pStyle w:val="ListBullet"/>
        <w:spacing w:after="40"/>
        <w:ind w:left="425"/>
      </w:pPr>
      <w:r>
        <w:t>InfraDev rapporte exclusivement au DG du FPI (canal direct).</w:t>
      </w:r>
    </w:p>
    <w:p>
      <w:pPr>
        <w:pStyle w:val="ListBullet"/>
        <w:spacing w:after="40"/>
        <w:ind w:left="425"/>
      </w:pPr>
      <w:r>
        <w:t>Le projet assure le financement des honoraires via un compte séquestre/escrow préfinancé. L’opérateur (AFRICOM) n’a aucun droit d’instruction sur les conclusions techniques ni sur le déclenchement des paiements d’honoraires du LTA.</w:t>
      </w:r>
    </w:p>
    <w:p>
      <w:pPr>
        <w:pStyle w:val="ListBullet"/>
        <w:spacing w:after="40"/>
        <w:ind w:left="425"/>
      </w:pPr>
      <w:r>
        <w:t>Triomf RDC/SA et fournisseurs coopèrent et donnent accès aux preuves nécessaires.</w:t>
      </w:r>
    </w:p>
    <w:p>
      <w:pPr>
        <w:pStyle w:val="Heading1"/>
      </w:pPr>
      <w:r>
        <w:t>4. Durée — engagement minimum</w:t>
      </w:r>
    </w:p>
    <w:p>
      <w:r>
        <w:t>Durée cible: 36 mois (engagement minimum), alignée sur le cycle de financement et la période critique d’exécution. Prolongation possible par avenant.</w:t>
      </w:r>
    </w:p>
    <w:p>
      <w:pPr>
        <w:pStyle w:val="Heading1"/>
      </w:pPr>
      <w:r>
        <w:t>5. Périmètre (scope) — synthèse</w:t>
      </w:r>
    </w:p>
    <w:p>
      <w:pPr>
        <w:pStyle w:val="ListBullet"/>
        <w:spacing w:after="40"/>
        <w:ind w:left="425"/>
      </w:pPr>
      <w:r>
        <w:t>Audit initial (J0–J30): état des lieux Boma + audit fournisseurs RSA + mise en place outils.</w:t>
      </w:r>
    </w:p>
    <w:p>
      <w:pPr>
        <w:pStyle w:val="ListBullet"/>
        <w:spacing w:after="40"/>
        <w:ind w:left="425"/>
      </w:pPr>
      <w:r>
        <w:t>Contrôle continu: pré-approbation des factures/situations, contrôle avancement physique/financier, preuves terrain, visa « Bon à payer ».</w:t>
      </w:r>
    </w:p>
    <w:p>
      <w:pPr>
        <w:pStyle w:val="ListBullet"/>
        <w:spacing w:after="40"/>
        <w:ind w:left="425"/>
      </w:pPr>
      <w:r>
        <w:t>Rapports mensuels de conformité (incluant, si requis, volet ESG/HSE).</w:t>
      </w:r>
    </w:p>
    <w:p>
      <w:pPr>
        <w:pStyle w:val="ListBullet"/>
        <w:spacing w:after="40"/>
        <w:ind w:left="425"/>
      </w:pPr>
      <w:r>
        <w:t>Alertes ad hoc au DG en cas d’écarts critiques.</w:t>
      </w:r>
    </w:p>
    <w:p>
      <w:pPr>
        <w:pStyle w:val="Heading1"/>
      </w:pPr>
      <w:r>
        <w:t>6. Key expert, équipe &amp; remplacement</w:t>
      </w:r>
    </w:p>
    <w:p>
      <w:r>
        <w:t>Key Expert (proposé) : Ted Kivoto Isengingo — Managing Director, InfraDev.Africa.</w:t>
      </w:r>
    </w:p>
    <w:p>
      <w:pPr>
        <w:pStyle w:val="ListBullet"/>
        <w:spacing w:after="40"/>
        <w:ind w:left="425"/>
      </w:pPr>
      <w:r>
        <w:t>InfraDev garantit la disponibilité du Key Expert et de l’équipe mobilisée selon le plan de charge.</w:t>
      </w:r>
    </w:p>
    <w:p>
      <w:pPr>
        <w:pStyle w:val="ListBullet"/>
        <w:spacing w:after="40"/>
        <w:ind w:left="425"/>
      </w:pPr>
      <w:r>
        <w:t>Tout remplacement du Key Expert est soumis à l’accord préalable du DG du FPI.</w:t>
      </w:r>
    </w:p>
    <w:p>
      <w:pPr>
        <w:pStyle w:val="ListBullet"/>
        <w:spacing w:after="40"/>
        <w:ind w:left="425"/>
      </w:pPr>
      <w:r>
        <w:t>Recours possible à des sous-consultants (ESG/HSE, juridique, QA/QC) sous responsabilité InfraDev.</w:t>
      </w:r>
    </w:p>
    <w:p>
      <w:pPr>
        <w:pStyle w:val="Heading1"/>
      </w:pPr>
      <w:r>
        <w:t>7. Modalités de rémunération (à finaliser)</w:t>
      </w:r>
    </w:p>
    <w:p>
      <w:r>
        <w:t>La mission est budgétée au projet au titre des « Frais de contrôle &amp; surveillance » (CAPEX). Pour garantir l’indépendance du LTA (éviter que l’entité auditée contrôle le paiement), les honoraires sont préfinancés dans un compte séquestre (escrow) irrévocable avant le démarrage. Les décaissements d’honoraires sont automatiques sur base des livrables transmis au DG du FPI (rapport mensuel de conformité / avis de certification), sans approbation de l’opérateur ou du partenaire technique.</w:t>
      </w:r>
    </w:p>
    <w:p>
      <w:pPr>
        <w:pStyle w:val="InfraDevSmall"/>
      </w:pPr>
      <w:r>
        <w:t>Paramètres à finaliser: (i) Banque/agent séquestre; (ii) montant ring-fencé (12 mois glissants minimum, idéalement 36 mois); (iii) calendrier de décaissement; (iv) mécanisme de rechargement automatique si solde &lt; 3 mois.</w:t>
      </w:r>
    </w:p>
    <w:p>
      <w:pPr>
        <w:pStyle w:val="InfraDevSmall"/>
        <w:spacing w:after="120"/>
      </w:pPr>
      <w:r>
        <w:rPr>
          <w:i/>
        </w:rPr>
        <w:t>Les chiffres ci-dessous sont des placeholders structurants — à ajuster après accès au budget et au calendrier contractuel.</w:t>
      </w:r>
    </w:p>
    <w:p>
      <w:pPr>
        <w:pStyle w:val="Heading2"/>
      </w:pPr>
      <w:r>
        <w:t>7.1 Structure de fees — option recommandée</w:t>
      </w:r>
    </w:p>
    <w:tbl>
      <w:tblPr>
        <w:tblW w:type="auto" w:w="0"/>
        <w:jc w:val="left"/>
        <w:tblLayout w:type="autofit"/>
        <w:tblLook w:firstColumn="1" w:firstRow="1" w:lastColumn="0" w:lastRow="0" w:noHBand="0" w:noVBand="1" w:val="04A0"/>
      </w:tblPr>
      <w:tblGrid>
        <w:gridCol w:w="2436"/>
        <w:gridCol w:w="2436"/>
        <w:gridCol w:w="2436"/>
        <w:gridCol w:w="2436"/>
      </w:tblGrid>
      <w:tr>
        <w:tc>
          <w:tcPr>
            <w:tcW w:type="dxa" w:w="2436"/>
            <w:shd w:val="clear" w:color="auto" w:fill="F3F4F6"/>
            <w:tcBorders>
              <w:left w:sz="6" w:val="single" w:color="E5E7EB"/>
              <w:top w:sz="6" w:val="single" w:color="E5E7EB"/>
              <w:right w:sz="6" w:val="single" w:color="E5E7EB"/>
              <w:bottom w:sz="6" w:val="single" w:color="E5E7EB"/>
            </w:tcBorders>
          </w:tcPr>
          <w:p>
            <w:r>
              <w:rPr>
                <w:b/>
                <w:color w:val="1F2A44"/>
              </w:rPr>
              <w:t>Composant</w:t>
            </w:r>
          </w:p>
        </w:tc>
        <w:tc>
          <w:tcPr>
            <w:tcW w:type="dxa" w:w="2436"/>
            <w:shd w:val="clear" w:color="auto" w:fill="F3F4F6"/>
            <w:tcBorders>
              <w:left w:sz="6" w:val="single" w:color="E5E7EB"/>
              <w:top w:sz="6" w:val="single" w:color="E5E7EB"/>
              <w:right w:sz="6" w:val="single" w:color="E5E7EB"/>
              <w:bottom w:sz="6" w:val="single" w:color="E5E7EB"/>
            </w:tcBorders>
          </w:tcPr>
          <w:p>
            <w:r>
              <w:rPr>
                <w:b/>
                <w:color w:val="1F2A44"/>
              </w:rPr>
              <w:t>Base</w:t>
            </w:r>
          </w:p>
        </w:tc>
        <w:tc>
          <w:tcPr>
            <w:tcW w:type="dxa" w:w="2436"/>
            <w:shd w:val="clear" w:color="auto" w:fill="F3F4F6"/>
            <w:tcBorders>
              <w:left w:sz="6" w:val="single" w:color="E5E7EB"/>
              <w:top w:sz="6" w:val="single" w:color="E5E7EB"/>
              <w:right w:sz="6" w:val="single" w:color="E5E7EB"/>
              <w:bottom w:sz="6" w:val="single" w:color="E5E7EB"/>
            </w:tcBorders>
          </w:tcPr>
          <w:p>
            <w:r>
              <w:rPr>
                <w:b/>
                <w:color w:val="1F2A44"/>
              </w:rPr>
              <w:t>Montant (USD)</w:t>
            </w:r>
          </w:p>
        </w:tc>
        <w:tc>
          <w:tcPr>
            <w:tcW w:type="dxa" w:w="2436"/>
            <w:shd w:val="clear" w:color="auto" w:fill="F3F4F6"/>
            <w:tcBorders>
              <w:left w:sz="6" w:val="single" w:color="E5E7EB"/>
              <w:top w:sz="6" w:val="single" w:color="E5E7EB"/>
              <w:right w:sz="6" w:val="single" w:color="E5E7EB"/>
              <w:bottom w:sz="6" w:val="single" w:color="E5E7EB"/>
            </w:tcBorders>
          </w:tcPr>
          <w:p>
            <w:r>
              <w:rPr>
                <w:b/>
                <w:color w:val="1F2A44"/>
              </w:rPr>
              <w:t>Commentaires</w:t>
            </w:r>
          </w:p>
        </w:tc>
      </w:tr>
      <w:tr>
        <w:tc>
          <w:tcPr>
            <w:tcW w:type="dxa" w:w="2436"/>
            <w:tcBorders>
              <w:left w:sz="6" w:val="single" w:color="E5E7EB"/>
              <w:top w:sz="6" w:val="single" w:color="E5E7EB"/>
              <w:right w:sz="6" w:val="single" w:color="E5E7EB"/>
              <w:bottom w:sz="6" w:val="single" w:color="E5E7EB"/>
            </w:tcBorders>
          </w:tcPr>
          <w:p>
            <w:r>
              <w:t>Retainer mensuel LTA</w:t>
            </w:r>
          </w:p>
        </w:tc>
        <w:tc>
          <w:tcPr>
            <w:tcW w:type="dxa" w:w="2436"/>
            <w:tcBorders>
              <w:left w:sz="6" w:val="single" w:color="E5E7EB"/>
              <w:top w:sz="6" w:val="single" w:color="E5E7EB"/>
              <w:right w:sz="6" w:val="single" w:color="E5E7EB"/>
              <w:bottom w:sz="6" w:val="single" w:color="E5E7EB"/>
            </w:tcBorders>
          </w:tcPr>
          <w:p>
            <w:r>
              <w:t>Mensuel (36 mois)</w:t>
            </w:r>
          </w:p>
        </w:tc>
        <w:tc>
          <w:tcPr>
            <w:tcW w:type="dxa" w:w="2436"/>
            <w:tcBorders>
              <w:left w:sz="6" w:val="single" w:color="E5E7EB"/>
              <w:top w:sz="6" w:val="single" w:color="E5E7EB"/>
              <w:right w:sz="6" w:val="single" w:color="E5E7EB"/>
              <w:bottom w:sz="6" w:val="single" w:color="E5E7EB"/>
            </w:tcBorders>
          </w:tcPr>
          <w:p>
            <w:r>
              <w:t>[à proposer]</w:t>
            </w:r>
          </w:p>
        </w:tc>
        <w:tc>
          <w:tcPr>
            <w:tcW w:type="dxa" w:w="2436"/>
            <w:tcBorders>
              <w:left w:sz="6" w:val="single" w:color="E5E7EB"/>
              <w:top w:sz="6" w:val="single" w:color="E5E7EB"/>
              <w:right w:sz="6" w:val="single" w:color="E5E7EB"/>
              <w:bottom w:sz="6" w:val="single" w:color="E5E7EB"/>
            </w:tcBorders>
          </w:tcPr>
          <w:p>
            <w:r>
              <w:t>Inclut reporting, certifications, coordination, réunions DG</w:t>
            </w:r>
          </w:p>
        </w:tc>
      </w:tr>
      <w:tr>
        <w:tc>
          <w:tcPr>
            <w:tcW w:type="dxa" w:w="2436"/>
            <w:tcBorders>
              <w:left w:sz="6" w:val="single" w:color="E5E7EB"/>
              <w:top w:sz="6" w:val="single" w:color="E5E7EB"/>
              <w:right w:sz="6" w:val="single" w:color="E5E7EB"/>
              <w:bottom w:sz="6" w:val="single" w:color="E5E7EB"/>
            </w:tcBorders>
          </w:tcPr>
          <w:p>
            <w:r>
              <w:t>J0–J30 Audit initial</w:t>
            </w:r>
          </w:p>
        </w:tc>
        <w:tc>
          <w:tcPr>
            <w:tcW w:type="dxa" w:w="2436"/>
            <w:tcBorders>
              <w:left w:sz="6" w:val="single" w:color="E5E7EB"/>
              <w:top w:sz="6" w:val="single" w:color="E5E7EB"/>
              <w:right w:sz="6" w:val="single" w:color="E5E7EB"/>
              <w:bottom w:sz="6" w:val="single" w:color="E5E7EB"/>
            </w:tcBorders>
          </w:tcPr>
          <w:p>
            <w:r>
              <w:t>Forfait</w:t>
            </w:r>
          </w:p>
        </w:tc>
        <w:tc>
          <w:tcPr>
            <w:tcW w:type="dxa" w:w="2436"/>
            <w:tcBorders>
              <w:left w:sz="6" w:val="single" w:color="E5E7EB"/>
              <w:top w:sz="6" w:val="single" w:color="E5E7EB"/>
              <w:right w:sz="6" w:val="single" w:color="E5E7EB"/>
              <w:bottom w:sz="6" w:val="single" w:color="E5E7EB"/>
            </w:tcBorders>
          </w:tcPr>
          <w:p>
            <w:r>
              <w:t>[à proposer]</w:t>
            </w:r>
          </w:p>
        </w:tc>
        <w:tc>
          <w:tcPr>
            <w:tcW w:type="dxa" w:w="2436"/>
            <w:tcBorders>
              <w:left w:sz="6" w:val="single" w:color="E5E7EB"/>
              <w:top w:sz="6" w:val="single" w:color="E5E7EB"/>
              <w:right w:sz="6" w:val="single" w:color="E5E7EB"/>
              <w:bottom w:sz="6" w:val="single" w:color="E5E7EB"/>
            </w:tcBorders>
          </w:tcPr>
          <w:p>
            <w:r>
              <w:t>État des lieux Boma + audit RSA + outils (registre/grille)</w:t>
            </w:r>
          </w:p>
        </w:tc>
      </w:tr>
      <w:tr>
        <w:tc>
          <w:tcPr>
            <w:tcW w:type="dxa" w:w="2436"/>
            <w:tcBorders>
              <w:left w:sz="6" w:val="single" w:color="E5E7EB"/>
              <w:top w:sz="6" w:val="single" w:color="E5E7EB"/>
              <w:right w:sz="6" w:val="single" w:color="E5E7EB"/>
              <w:bottom w:sz="6" w:val="single" w:color="E5E7EB"/>
            </w:tcBorders>
          </w:tcPr>
          <w:p>
            <w:r>
              <w:t>Missions terrain</w:t>
            </w:r>
          </w:p>
        </w:tc>
        <w:tc>
          <w:tcPr>
            <w:tcW w:type="dxa" w:w="2436"/>
            <w:tcBorders>
              <w:left w:sz="6" w:val="single" w:color="E5E7EB"/>
              <w:top w:sz="6" w:val="single" w:color="E5E7EB"/>
              <w:right w:sz="6" w:val="single" w:color="E5E7EB"/>
              <w:bottom w:sz="6" w:val="single" w:color="E5E7EB"/>
            </w:tcBorders>
          </w:tcPr>
          <w:p>
            <w:r>
              <w:t>Par mission</w:t>
            </w:r>
          </w:p>
        </w:tc>
        <w:tc>
          <w:tcPr>
            <w:tcW w:type="dxa" w:w="2436"/>
            <w:tcBorders>
              <w:left w:sz="6" w:val="single" w:color="E5E7EB"/>
              <w:top w:sz="6" w:val="single" w:color="E5E7EB"/>
              <w:right w:sz="6" w:val="single" w:color="E5E7EB"/>
              <w:bottom w:sz="6" w:val="single" w:color="E5E7EB"/>
            </w:tcBorders>
          </w:tcPr>
          <w:p>
            <w:r>
              <w:t>[à proposer]</w:t>
            </w:r>
          </w:p>
        </w:tc>
        <w:tc>
          <w:tcPr>
            <w:tcW w:type="dxa" w:w="2436"/>
            <w:tcBorders>
              <w:left w:sz="6" w:val="single" w:color="E5E7EB"/>
              <w:top w:sz="6" w:val="single" w:color="E5E7EB"/>
              <w:right w:sz="6" w:val="single" w:color="E5E7EB"/>
              <w:bottom w:sz="6" w:val="single" w:color="E5E7EB"/>
            </w:tcBorders>
          </w:tcPr>
          <w:p>
            <w:r>
              <w:t>Per diem + logistique selon ordre de mission</w:t>
            </w:r>
          </w:p>
        </w:tc>
      </w:tr>
      <w:tr>
        <w:tc>
          <w:tcPr>
            <w:tcW w:type="dxa" w:w="2436"/>
            <w:tcBorders>
              <w:left w:sz="6" w:val="single" w:color="E5E7EB"/>
              <w:top w:sz="6" w:val="single" w:color="E5E7EB"/>
              <w:right w:sz="6" w:val="single" w:color="E5E7EB"/>
              <w:bottom w:sz="6" w:val="single" w:color="E5E7EB"/>
            </w:tcBorders>
          </w:tcPr>
          <w:p>
            <w:r>
              <w:t>Frais de déplacement</w:t>
            </w:r>
          </w:p>
        </w:tc>
        <w:tc>
          <w:tcPr>
            <w:tcW w:type="dxa" w:w="2436"/>
            <w:tcBorders>
              <w:left w:sz="6" w:val="single" w:color="E5E7EB"/>
              <w:top w:sz="6" w:val="single" w:color="E5E7EB"/>
              <w:right w:sz="6" w:val="single" w:color="E5E7EB"/>
              <w:bottom w:sz="6" w:val="single" w:color="E5E7EB"/>
            </w:tcBorders>
          </w:tcPr>
          <w:p>
            <w:r>
              <w:t>Au réel / plafonné</w:t>
            </w:r>
          </w:p>
        </w:tc>
        <w:tc>
          <w:tcPr>
            <w:tcW w:type="dxa" w:w="2436"/>
            <w:tcBorders>
              <w:left w:sz="6" w:val="single" w:color="E5E7EB"/>
              <w:top w:sz="6" w:val="single" w:color="E5E7EB"/>
              <w:right w:sz="6" w:val="single" w:color="E5E7EB"/>
              <w:bottom w:sz="6" w:val="single" w:color="E5E7EB"/>
            </w:tcBorders>
          </w:tcPr>
          <w:p>
            <w:r>
              <w:t>[à proposer]</w:t>
            </w:r>
          </w:p>
        </w:tc>
        <w:tc>
          <w:tcPr>
            <w:tcW w:type="dxa" w:w="2436"/>
            <w:tcBorders>
              <w:left w:sz="6" w:val="single" w:color="E5E7EB"/>
              <w:top w:sz="6" w:val="single" w:color="E5E7EB"/>
              <w:right w:sz="6" w:val="single" w:color="E5E7EB"/>
              <w:bottom w:sz="6" w:val="single" w:color="E5E7EB"/>
            </w:tcBorders>
          </w:tcPr>
          <w:p>
            <w:r>
              <w:t>RSA↔Boma, Kin↔Boma (billets, hôtels, transferts)</w:t>
            </w:r>
          </w:p>
        </w:tc>
      </w:tr>
      <w:tr>
        <w:tc>
          <w:tcPr>
            <w:tcW w:type="dxa" w:w="2436"/>
            <w:tcBorders>
              <w:left w:sz="6" w:val="single" w:color="E5E7EB"/>
              <w:top w:sz="6" w:val="single" w:color="E5E7EB"/>
              <w:right w:sz="6" w:val="single" w:color="E5E7EB"/>
              <w:bottom w:sz="6" w:val="single" w:color="E5E7EB"/>
            </w:tcBorders>
          </w:tcPr>
          <w:p>
            <w:r>
              <w:t>Option ESG/HSE</w:t>
            </w:r>
          </w:p>
        </w:tc>
        <w:tc>
          <w:tcPr>
            <w:tcW w:type="dxa" w:w="2436"/>
            <w:tcBorders>
              <w:left w:sz="6" w:val="single" w:color="E5E7EB"/>
              <w:top w:sz="6" w:val="single" w:color="E5E7EB"/>
              <w:right w:sz="6" w:val="single" w:color="E5E7EB"/>
              <w:bottom w:sz="6" w:val="single" w:color="E5E7EB"/>
            </w:tcBorders>
          </w:tcPr>
          <w:p>
            <w:r>
              <w:t>Mensuel ou forfait</w:t>
            </w:r>
          </w:p>
        </w:tc>
        <w:tc>
          <w:tcPr>
            <w:tcW w:type="dxa" w:w="2436"/>
            <w:tcBorders>
              <w:left w:sz="6" w:val="single" w:color="E5E7EB"/>
              <w:top w:sz="6" w:val="single" w:color="E5E7EB"/>
              <w:right w:sz="6" w:val="single" w:color="E5E7EB"/>
              <w:bottom w:sz="6" w:val="single" w:color="E5E7EB"/>
            </w:tcBorders>
          </w:tcPr>
          <w:p>
            <w:r>
              <w:t>[à proposer]</w:t>
            </w:r>
          </w:p>
        </w:tc>
        <w:tc>
          <w:tcPr>
            <w:tcW w:type="dxa" w:w="2436"/>
            <w:tcBorders>
              <w:left w:sz="6" w:val="single" w:color="E5E7EB"/>
              <w:top w:sz="6" w:val="single" w:color="E5E7EB"/>
              <w:right w:sz="6" w:val="single" w:color="E5E7EB"/>
              <w:bottom w:sz="6" w:val="single" w:color="E5E7EB"/>
            </w:tcBorders>
          </w:tcPr>
          <w:p>
            <w:r>
              <w:t>Registre + checklist + section report / incidents</w:t>
            </w:r>
          </w:p>
        </w:tc>
      </w:tr>
    </w:tbl>
    <w:p/>
    <w:p>
      <w:pPr>
        <w:pStyle w:val="Heading2"/>
      </w:pPr>
      <w:r>
        <w:t>7.2 Clause de plafond (cap) liée à la valeur du contrat</w:t>
      </w:r>
    </w:p>
    <w:p>
      <w:r>
        <w:t>Plafond indicatif: [0,8%–1,2%] de la valeur totale du projet/contrat, à confirmer selon le budget et la matrice risques. Un plafond protège AFRICOM, tandis qu’un retainer assure la continuité de contrôle exigée par la BCC.</w:t>
      </w:r>
    </w:p>
    <w:p>
      <w:pPr>
        <w:pStyle w:val="Heading1"/>
      </w:pPr>
      <w:r>
        <w:t>8. Modalités de paiement</w:t>
      </w:r>
    </w:p>
    <w:p>
      <w:pPr>
        <w:pStyle w:val="ListBullet"/>
        <w:spacing w:after="40"/>
        <w:ind w:left="425"/>
      </w:pPr>
      <w:r>
        <w:t>Paiement du retainer: mensuel, payé depuis l’escrow, déclenché à réception du Rapport Mensuel de Conformité (J+5 maximum).</w:t>
      </w:r>
    </w:p>
    <w:p>
      <w:pPr>
        <w:pStyle w:val="ListBullet"/>
        <w:spacing w:after="40"/>
        <w:ind w:left="425"/>
      </w:pPr>
      <w:r>
        <w:t>Paiement de l’audit initial: 50% à l’Ordre de Service (OS), 50% à remise du rapport J+30 (paiement via escrow).</w:t>
      </w:r>
    </w:p>
    <w:p>
      <w:pPr>
        <w:pStyle w:val="ListBullet"/>
        <w:spacing w:after="40"/>
        <w:ind w:left="425"/>
      </w:pPr>
      <w:r>
        <w:t>Frais terrain: sur ordre de mission validé (DG FPI) + justificatifs, avec plafond par mission.</w:t>
      </w:r>
    </w:p>
    <w:p>
      <w:pPr>
        <w:pStyle w:val="ListBullet"/>
        <w:spacing w:after="40"/>
        <w:ind w:left="425"/>
      </w:pPr>
      <w:r>
        <w:t>Retenue / suspension: en cas de non-coopération documentée d’une partie, InfraDev notifie le DG.</w:t>
      </w:r>
    </w:p>
    <w:p>
      <w:pPr>
        <w:pStyle w:val="Heading1"/>
      </w:pPr>
      <w:r>
        <w:t>9. Clauses clés (compliance)</w:t>
      </w:r>
    </w:p>
    <w:p>
      <w:pPr>
        <w:pStyle w:val="ListBullet"/>
        <w:spacing w:after="40"/>
        <w:ind w:left="425"/>
      </w:pPr>
      <w:r>
        <w:t>Anti-corruption / conflit d’intérêts: déclaration + obligation de signalement.</w:t>
      </w:r>
    </w:p>
    <w:p>
      <w:pPr>
        <w:pStyle w:val="ListBullet"/>
        <w:spacing w:after="40"/>
        <w:ind w:left="425"/>
      </w:pPr>
      <w:r>
        <w:t>Confidentialité: informations projet et conclusions techniques.</w:t>
      </w:r>
    </w:p>
    <w:p>
      <w:pPr>
        <w:pStyle w:val="ListBullet"/>
        <w:spacing w:after="40"/>
        <w:ind w:left="425"/>
      </w:pPr>
      <w:r>
        <w:t>Données &amp; preuves: archivage sécurisé (data-room minimum).</w:t>
      </w:r>
    </w:p>
    <w:p>
      <w:pPr>
        <w:pStyle w:val="ListBullet"/>
        <w:spacing w:after="40"/>
        <w:ind w:left="425"/>
      </w:pPr>
      <w:r>
        <w:t>Non-subordination: InfraDev conserve son indépendance d’analyse.</w:t>
      </w:r>
    </w:p>
    <w:p>
      <w:pPr>
        <w:pStyle w:val="ListBullet"/>
      </w:pPr>
      <w:r>
        <w:t>Limitation de responsabilité: InfraDev certifie l’existence et la fonctionnalité technique des actifs (CAPEX-&gt;assets) et la conformité documentaire des paiements. InfraDev n’émet aucune opinion sur la viabilité commerciale (OPEX, ventes, rentabilité) ni sur la performance opérationnelle de l’usine.</w:t>
      </w:r>
    </w:p>
    <w:p>
      <w:pPr>
        <w:pStyle w:val="ListBullet"/>
        <w:spacing w:after="40"/>
        <w:ind w:left="425"/>
      </w:pPr>
      <w:r>
        <w:t>Résiliation: pour cause (faute grave, non-paiement, non-coopération), avec préavis [30 jours].</w:t>
      </w:r>
    </w:p>
    <w:p>
      <w:pPr>
        <w:pStyle w:val="Heading1"/>
      </w:pPr>
      <w:r>
        <w:t>10. Prochaines étapes (J0–J15)</w:t>
      </w:r>
    </w:p>
    <w:p>
      <w:pPr>
        <w:pStyle w:val="ListBullet"/>
        <w:spacing w:after="40"/>
        <w:ind w:left="425"/>
      </w:pPr>
      <w:r>
        <w:t>Valider le schéma contractuel (tripartite) + désignation officielle du Key Expert.</w:t>
      </w:r>
    </w:p>
    <w:p>
      <w:pPr>
        <w:pStyle w:val="ListBullet"/>
        <w:spacing w:after="40"/>
        <w:ind w:left="425"/>
      </w:pPr>
      <w:r>
        <w:t>Émettre l’Ordre de Service (OS) donnant mandat d’accès au site et aux fournisseurs RSA.</w:t>
      </w:r>
    </w:p>
    <w:p>
      <w:pPr>
        <w:pStyle w:val="ListBullet"/>
        <w:spacing w:after="40"/>
        <w:ind w:left="425"/>
      </w:pPr>
      <w:r>
        <w:t>Définir le circuit documentaire: factures → preuves → certification → décaissement.</w:t>
      </w:r>
    </w:p>
    <w:p>
      <w:pPr>
        <w:pStyle w:val="ListBullet"/>
        <w:spacing w:after="40"/>
        <w:ind w:left="425"/>
      </w:pPr>
      <w:r>
        <w:t>Produire la note « Flash » destinée à appuyer la levée des mesures conservatoires (BCC).</w:t>
      </w:r>
    </w:p>
    <w:p>
      <w:pPr>
        <w:pStyle w:val="Heading1"/>
      </w:pPr>
      <w:r>
        <w:t>11. Signatures (principes)</w:t>
      </w:r>
    </w:p>
    <w:p>
      <w:r>
        <w:t>Ce HoT n’est pas un contrat. Il sert de base à la rédaction du contrat final et des Termes de Référence (ToR) à signer entre les parties.</w:t>
      </w:r>
    </w:p>
    <w:tbl>
      <w:tblPr>
        <w:tblW w:type="auto" w:w="0"/>
        <w:jc w:val="left"/>
        <w:tblLook w:firstColumn="1" w:firstRow="1" w:lastColumn="0" w:lastRow="0" w:noHBand="0" w:noVBand="1" w:val="04A0"/>
      </w:tblPr>
      <w:tblGrid>
        <w:gridCol w:w="3249"/>
        <w:gridCol w:w="3249"/>
        <w:gridCol w:w="3249"/>
      </w:tblGrid>
      <w:tr>
        <w:tc>
          <w:tcPr>
            <w:tcW w:type="dxa" w:w="3249"/>
            <w:shd w:val="clear" w:color="auto" w:fill="F3F4F6"/>
            <w:tcBorders>
              <w:left w:sz="6" w:val="single" w:color="E5E7EB"/>
              <w:top w:sz="6" w:val="single" w:color="E5E7EB"/>
              <w:right w:sz="6" w:val="single" w:color="E5E7EB"/>
              <w:bottom w:sz="6" w:val="single" w:color="E5E7EB"/>
            </w:tcBorders>
          </w:tcPr>
          <w:p>
            <w:r>
              <w:rPr>
                <w:b/>
                <w:color w:val="1F2A44"/>
              </w:rPr>
              <w:t>FPI (DG)</w:t>
            </w:r>
          </w:p>
        </w:tc>
        <w:tc>
          <w:tcPr>
            <w:tcW w:type="dxa" w:w="3249"/>
            <w:shd w:val="clear" w:color="auto" w:fill="F3F4F6"/>
            <w:tcBorders>
              <w:left w:sz="6" w:val="single" w:color="E5E7EB"/>
              <w:top w:sz="6" w:val="single" w:color="E5E7EB"/>
              <w:right w:sz="6" w:val="single" w:color="E5E7EB"/>
              <w:bottom w:sz="6" w:val="single" w:color="E5E7EB"/>
            </w:tcBorders>
          </w:tcPr>
          <w:p>
            <w:r>
              <w:rPr>
                <w:b/>
                <w:color w:val="1F2A44"/>
              </w:rPr>
              <w:t>AFRICOM (DG/DF)</w:t>
            </w:r>
          </w:p>
        </w:tc>
        <w:tc>
          <w:tcPr>
            <w:tcW w:type="dxa" w:w="3249"/>
            <w:shd w:val="clear" w:color="auto" w:fill="F3F4F6"/>
            <w:tcBorders>
              <w:left w:sz="6" w:val="single" w:color="E5E7EB"/>
              <w:top w:sz="6" w:val="single" w:color="E5E7EB"/>
              <w:right w:sz="6" w:val="single" w:color="E5E7EB"/>
              <w:bottom w:sz="6" w:val="single" w:color="E5E7EB"/>
            </w:tcBorders>
          </w:tcPr>
          <w:p>
            <w:r>
              <w:rPr>
                <w:b/>
                <w:color w:val="1F2A44"/>
              </w:rPr>
              <w:t>InfraDev.Africa (MD)</w:t>
            </w:r>
          </w:p>
        </w:tc>
      </w:tr>
      <w:tr>
        <w:tc>
          <w:tcPr>
            <w:tcW w:type="dxa" w:w="3249"/>
            <w:tcBorders>
              <w:left w:sz="6" w:val="single" w:color="E5E7EB"/>
              <w:top w:sz="6" w:val="single" w:color="E5E7EB"/>
              <w:right w:sz="6" w:val="single" w:color="E5E7EB"/>
              <w:bottom w:sz="6" w:val="single" w:color="E5E7EB"/>
            </w:tcBorders>
          </w:tcPr>
          <w:p>
            <w:r>
              <w:t>Nom: ____________________</w:t>
              <w:br/>
              <w:t>Signature: _______________</w:t>
              <w:br/>
              <w:t>Date: ____________________</w:t>
            </w:r>
          </w:p>
        </w:tc>
        <w:tc>
          <w:tcPr>
            <w:tcW w:type="dxa" w:w="3249"/>
            <w:tcBorders>
              <w:left w:sz="6" w:val="single" w:color="E5E7EB"/>
              <w:top w:sz="6" w:val="single" w:color="E5E7EB"/>
              <w:right w:sz="6" w:val="single" w:color="E5E7EB"/>
              <w:bottom w:sz="6" w:val="single" w:color="E5E7EB"/>
            </w:tcBorders>
          </w:tcPr>
          <w:p>
            <w:r>
              <w:t>Nom: ____________________</w:t>
              <w:br/>
              <w:t>Signature: _______________</w:t>
              <w:br/>
              <w:t>Date: ____________________</w:t>
            </w:r>
          </w:p>
        </w:tc>
        <w:tc>
          <w:tcPr>
            <w:tcW w:type="dxa" w:w="3249"/>
            <w:tcBorders>
              <w:left w:sz="6" w:val="single" w:color="E5E7EB"/>
              <w:top w:sz="6" w:val="single" w:color="E5E7EB"/>
              <w:right w:sz="6" w:val="single" w:color="E5E7EB"/>
              <w:bottom w:sz="6" w:val="single" w:color="E5E7EB"/>
            </w:tcBorders>
          </w:tcPr>
          <w:p>
            <w:r>
              <w:t>Nom: ____________________</w:t>
              <w:br/>
              <w:t>Signature: _______________</w:t>
              <w:br/>
              <w:t>Date: ____________________</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InfraDevSmall"/>
      <w:jc w:val="center"/>
    </w:pPr>
    <w:r>
      <w:t>Heads of Terms (HoT) — Mission LTA / AMO (Tripartite) — v1.0 — 2026-02-11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autofit"/>
      <w:tblLook w:firstColumn="1" w:firstRow="1" w:lastColumn="0" w:lastRow="0" w:noHBand="0" w:noVBand="1" w:val="04A0"/>
    </w:tblPr>
    <w:tblGrid>
      <w:gridCol w:w="4680"/>
      <w:gridCol w:w="4680"/>
    </w:tblGrid>
    <w:tr>
      <w:tc>
        <w:tcPr>
          <w:tcW w:type="dxa" w:w="4680"/>
          <w:vMerge w:val="restart"/>
        </w:tcPr>
        <w:p>
          <w:pPr>
            <w:spacing w:after="0"/>
          </w:pPr>
          <w:r>
            <w:rPr>
              <w:b/>
              <w:color w:val="1F2A44"/>
              <w:sz w:val="24"/>
            </w:rPr>
            <w:t>InfraDev.Africa</w:t>
          </w:r>
        </w:p>
        <w:p>
          <w:pPr>
            <w:pStyle w:val="InfraDevSmall"/>
            <w:spacing w:after="0"/>
          </w:pPr>
          <w:r>
            <w:t>Institutional Grade Advisory</w:t>
          </w:r>
        </w:p>
        <w:p>
          <w:pPr>
            <w:pStyle w:val="InfraDevSmall"/>
            <w:spacing w:after="0"/>
          </w:pPr>
          <w:r>
            <w:t>Feasibility • PPP / Delivery Structuring • Master Planning</w:t>
          </w:r>
        </w:p>
      </w:tc>
      <w:tc>
        <w:tcPr>
          <w:tcW w:type="dxa" w:w="4680"/>
          <w:vMerge w:val="restart"/>
        </w:tcPr>
        <w:p>
          <w:pPr>
            <w:spacing w:after="0"/>
            <w:jc w:val="right"/>
          </w:pPr>
          <w:r>
            <w:rPr>
              <w:b/>
              <w:color w:val="6B7280"/>
              <w:sz w:val="18"/>
            </w:rPr>
            <w:t>Kumea Africa Holding SARL</w:t>
          </w:r>
        </w:p>
        <w:p>
          <w:pPr>
            <w:pStyle w:val="InfraDevSmall"/>
            <w:spacing w:after="0"/>
            <w:jc w:val="right"/>
          </w:pPr>
          <w:r>
            <w:t>RCCM: CD/KNG/RCCM/24-B-01462 | IDNAT: 01-A0101-N49087K</w:t>
          </w:r>
        </w:p>
        <w:p>
          <w:pPr>
            <w:pStyle w:val="InfraDevSmall"/>
            <w:spacing w:after="0"/>
            <w:jc w:val="right"/>
          </w:pPr>
          <w:r>
            <w:t>15 Avenue du Grand Séminaire, Q/Nganda, C/Kintámbó, Kinshasa, RDC</w:t>
          </w:r>
        </w:p>
        <w:p>
          <w:pPr>
            <w:pStyle w:val="InfraDevSmall"/>
            <w:jc w:val="right"/>
          </w:pPr>
          <w:r>
            <w:t>info@infradev.africa | +243 89 11 87 001</w:t>
          </w:r>
        </w:p>
      </w:tc>
    </w:tr>
    <w:tr>
      <w:tc>
        <w:tcPr>
          <w:tcW w:type="dxa" w:w="4680"/>
          <w:vMerge/>
        </w:tcPr>
        <w:p/>
      </w:tc>
      <w:tc>
        <w:tcPr>
          <w:tcW w:type="dxa" w:w="4680"/>
          <w:vMerge/>
        </w:tcPr>
        <w:p/>
      </w:tc>
    </w:tr>
  </w:tbl>
  <w:p>
    <w:pPr>
      <w:pBdr>
        <w:bottom w:val="single" w:sz="10" w:space="1" w:color="1F2A44"/>
      </w:pBdr>
      <w:spacing w:after="4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raDevTitle">
    <w:name w:val="InfraDev Title"/>
    <w:basedOn w:val="Title"/>
    <w:pPr>
      <w:spacing w:after="200" w:line="252" w:lineRule="auto"/>
    </w:pPr>
    <w:rPr>
      <w:rFonts w:ascii="Calibri" w:hAnsi="Calibri"/>
      <w:b/>
      <w:color w:val="1F2A44"/>
      <w:sz w:val="40"/>
    </w:rPr>
  </w:style>
  <w:style w:type="paragraph" w:customStyle="1" w:styleId="InfraDevSmall">
    <w:name w:val="InfraDev Small"/>
    <w:pPr>
      <w:spacing w:after="40" w:line="240" w:lineRule="auto"/>
    </w:pPr>
    <w:rPr>
      <w:rFonts w:ascii="Calibri" w:hAnsi="Calibri"/>
      <w:color w:val="6B72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