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C68A" w14:textId="77777777" w:rsidR="001677E2" w:rsidRPr="0069399F" w:rsidRDefault="00000000">
      <w:pPr>
        <w:pStyle w:val="InfraDevTitle"/>
        <w:rPr>
          <w:lang w:val="fr-FR"/>
        </w:rPr>
      </w:pPr>
      <w:r w:rsidRPr="0069399F">
        <w:rPr>
          <w:lang w:val="fr-FR"/>
        </w:rPr>
        <w:t>NOTE DE CADRAGE STRATÉGIQUE</w:t>
      </w:r>
    </w:p>
    <w:p w14:paraId="7BE59BBB" w14:textId="77777777" w:rsidR="001677E2" w:rsidRPr="0069399F" w:rsidRDefault="00000000">
      <w:pPr>
        <w:spacing w:after="200"/>
        <w:rPr>
          <w:lang w:val="fr-FR"/>
        </w:rPr>
      </w:pPr>
      <w:r w:rsidRPr="0069399F">
        <w:rPr>
          <w:b/>
          <w:color w:val="1F2A44"/>
          <w:sz w:val="24"/>
          <w:lang w:val="fr-FR"/>
        </w:rPr>
        <w:t>Projet: Relance de l’Unité de Production d’Engrais (Boma / Triomf RDC)</w:t>
      </w:r>
      <w:r w:rsidRPr="0069399F">
        <w:rPr>
          <w:b/>
          <w:color w:val="1F2A44"/>
          <w:sz w:val="24"/>
          <w:lang w:val="fr-FR"/>
        </w:rPr>
        <w:br/>
        <w:t>Mission: AMO — Contrôle Technique &amp; Financier (LTA) | « Verrou de contrôle »</w:t>
      </w:r>
    </w:p>
    <w:p w14:paraId="32946206" w14:textId="77777777" w:rsidR="001677E2" w:rsidRPr="0069399F" w:rsidRDefault="00000000">
      <w:pPr>
        <w:spacing w:after="320"/>
        <w:rPr>
          <w:lang w:val="fr-FR"/>
        </w:rPr>
      </w:pPr>
      <w:r w:rsidRPr="0069399F">
        <w:rPr>
          <w:b/>
          <w:lang w:val="fr-FR"/>
        </w:rPr>
        <w:t>Positionnement: InfraDev.Africa comme tiers de confiance du DG du FPI</w:t>
      </w:r>
    </w:p>
    <w:tbl>
      <w:tblPr>
        <w:tblW w:w="0" w:type="auto"/>
        <w:tblLook w:val="04A0" w:firstRow="1" w:lastRow="0" w:firstColumn="1" w:lastColumn="0" w:noHBand="0" w:noVBand="1"/>
      </w:tblPr>
      <w:tblGrid>
        <w:gridCol w:w="9746"/>
      </w:tblGrid>
      <w:tr w:rsidR="001677E2" w14:paraId="5A95416B" w14:textId="77777777">
        <w:tc>
          <w:tcPr>
            <w:tcW w:w="9746" w:type="dxa"/>
            <w:tcBorders>
              <w:top w:val="nil"/>
              <w:left w:val="nil"/>
              <w:bottom w:val="nil"/>
              <w:right w:val="nil"/>
            </w:tcBorders>
            <w:shd w:val="clear" w:color="auto" w:fill="1F2A44"/>
          </w:tcPr>
          <w:p w14:paraId="01815B39" w14:textId="77777777" w:rsidR="001677E2" w:rsidRDefault="00000000">
            <w:pPr>
              <w:spacing w:after="0"/>
            </w:pPr>
            <w:r>
              <w:rPr>
                <w:b/>
                <w:color w:val="FFFFFF"/>
                <w:sz w:val="20"/>
              </w:rPr>
              <w:t>CONFIDENTIEL — NOTE DE PRÉSENTATION</w:t>
            </w:r>
          </w:p>
        </w:tc>
      </w:tr>
    </w:tbl>
    <w:p w14:paraId="2AFB8A0E" w14:textId="77777777" w:rsidR="001677E2" w:rsidRDefault="001677E2"/>
    <w:p w14:paraId="0EEBF469" w14:textId="77777777" w:rsidR="001677E2" w:rsidRDefault="00000000">
      <w:pPr>
        <w:pStyle w:val="InfraDevSmall"/>
      </w:pPr>
      <w:r>
        <w:t>Version: v1.1 | Date: 11 février 2026</w:t>
      </w:r>
    </w:p>
    <w:p w14:paraId="0D0C11E6" w14:textId="77777777" w:rsidR="001677E2" w:rsidRDefault="00000000">
      <w:pPr>
        <w:pStyle w:val="InfraDevSmall"/>
      </w:pPr>
      <w:r>
        <w:t>Auteur: InfraDev.Africa — Key Expert: Ted Kivoto Isengingo</w:t>
      </w:r>
    </w:p>
    <w:p w14:paraId="23176F69" w14:textId="77777777" w:rsidR="001677E2" w:rsidRPr="0069399F" w:rsidRDefault="00000000">
      <w:pPr>
        <w:pStyle w:val="InfraDevSmall"/>
        <w:rPr>
          <w:lang w:val="fr-FR"/>
        </w:rPr>
      </w:pPr>
      <w:r w:rsidRPr="0069399F">
        <w:rPr>
          <w:lang w:val="fr-FR"/>
        </w:rPr>
        <w:t>Tags: #InfraDev #FPI #Boma #Triomf #AFRICOM #AMO #LTA #VerrouDeControle #BCC #IGF #PPP</w:t>
      </w:r>
    </w:p>
    <w:p w14:paraId="5519D43A" w14:textId="77777777" w:rsidR="001677E2" w:rsidRPr="0069399F" w:rsidRDefault="00000000">
      <w:pPr>
        <w:rPr>
          <w:lang w:val="fr-FR"/>
        </w:rPr>
      </w:pPr>
      <w:r w:rsidRPr="0069399F">
        <w:rPr>
          <w:lang w:val="fr-FR"/>
        </w:rPr>
        <w:br w:type="page"/>
      </w:r>
    </w:p>
    <w:p w14:paraId="5AEFA10A" w14:textId="77777777" w:rsidR="001677E2" w:rsidRPr="0069399F" w:rsidRDefault="00000000">
      <w:pPr>
        <w:pStyle w:val="Heading1"/>
        <w:rPr>
          <w:lang w:val="fr-FR"/>
        </w:rPr>
      </w:pPr>
      <w:r w:rsidRPr="0069399F">
        <w:rPr>
          <w:lang w:val="fr-FR"/>
        </w:rPr>
        <w:lastRenderedPageBreak/>
        <w:t>1. L’impératif de sécurité</w:t>
      </w:r>
    </w:p>
    <w:p w14:paraId="3601F305" w14:textId="77777777" w:rsidR="001677E2" w:rsidRPr="0069399F" w:rsidRDefault="00000000">
      <w:pPr>
        <w:rPr>
          <w:lang w:val="fr-FR"/>
        </w:rPr>
      </w:pPr>
      <w:r w:rsidRPr="0069399F">
        <w:rPr>
          <w:lang w:val="fr-FR"/>
        </w:rPr>
        <w:t>Dans un contexte post-Bukanga Lonzo et compte tenu de la surveillance institutionnelle (BCC / IGF), la relance de Boma requiert un dispositif de contrôle qui protège le FPI et la Direction Générale: l’objectif est de certifier la réalité des actifs et des travaux avant toute décision de décaissement.</w:t>
      </w:r>
    </w:p>
    <w:p w14:paraId="03D4E05C" w14:textId="77777777" w:rsidR="001677E2" w:rsidRPr="0069399F" w:rsidRDefault="00000000">
      <w:pPr>
        <w:pStyle w:val="InfraDevSmall"/>
        <w:spacing w:after="120"/>
        <w:rPr>
          <w:lang w:val="fr-FR"/>
        </w:rPr>
      </w:pPr>
      <w:r w:rsidRPr="0069399F">
        <w:rPr>
          <w:i/>
          <w:lang w:val="fr-FR"/>
        </w:rPr>
        <w:t>Message clé: le FPI ne paie que ce qui est vérifié (preuves documentaires + preuves terrain).</w:t>
      </w:r>
    </w:p>
    <w:p w14:paraId="18AFDF39" w14:textId="77777777" w:rsidR="001677E2" w:rsidRPr="0069399F" w:rsidRDefault="00000000">
      <w:pPr>
        <w:pStyle w:val="Heading1"/>
        <w:rPr>
          <w:lang w:val="fr-FR"/>
        </w:rPr>
      </w:pPr>
      <w:r w:rsidRPr="0069399F">
        <w:rPr>
          <w:lang w:val="fr-FR"/>
        </w:rPr>
        <w:t>2. Dispositif proposé: « Tiers de confiance »</w:t>
      </w:r>
    </w:p>
    <w:p w14:paraId="2E135138" w14:textId="77777777" w:rsidR="001677E2" w:rsidRPr="0069399F" w:rsidRDefault="00000000">
      <w:pPr>
        <w:pStyle w:val="ListBullet"/>
        <w:spacing w:after="40"/>
        <w:ind w:left="425"/>
        <w:rPr>
          <w:lang w:val="fr-FR"/>
        </w:rPr>
      </w:pPr>
      <w:r w:rsidRPr="0069399F">
        <w:rPr>
          <w:lang w:val="fr-FR"/>
        </w:rPr>
        <w:t>Statut: AMO / Lender’s Technical Advisor (LTA) — fondé de pouvoir technique.</w:t>
      </w:r>
    </w:p>
    <w:p w14:paraId="361F9E12" w14:textId="77777777" w:rsidR="001677E2" w:rsidRPr="0069399F" w:rsidRDefault="00000000">
      <w:pPr>
        <w:pStyle w:val="ListBullet"/>
        <w:spacing w:after="40"/>
        <w:ind w:left="425"/>
        <w:rPr>
          <w:lang w:val="fr-FR"/>
        </w:rPr>
      </w:pPr>
      <w:r w:rsidRPr="0069399F">
        <w:rPr>
          <w:lang w:val="fr-FR"/>
        </w:rPr>
        <w:t>Rôle: « les yeux du DG » — canal de reporting direct et exclusif.</w:t>
      </w:r>
    </w:p>
    <w:p w14:paraId="75FFF260" w14:textId="77777777" w:rsidR="001677E2" w:rsidRPr="0069399F" w:rsidRDefault="00000000">
      <w:pPr>
        <w:pStyle w:val="ListBullet"/>
        <w:spacing w:after="40"/>
        <w:ind w:left="425"/>
        <w:rPr>
          <w:lang w:val="fr-FR"/>
        </w:rPr>
      </w:pPr>
      <w:r w:rsidRPr="0069399F">
        <w:rPr>
          <w:lang w:val="fr-FR"/>
        </w:rPr>
        <w:t>Mécanisme: pré-contrôle des demandes de paiement; sans visa InfraDev, le paiement est bloqué.</w:t>
      </w:r>
    </w:p>
    <w:p w14:paraId="770244E8" w14:textId="77777777" w:rsidR="001677E2" w:rsidRPr="0069399F" w:rsidRDefault="00000000">
      <w:pPr>
        <w:pStyle w:val="ListBullet"/>
        <w:spacing w:after="40"/>
        <w:ind w:left="425"/>
        <w:rPr>
          <w:lang w:val="fr-FR"/>
        </w:rPr>
      </w:pPr>
      <w:r w:rsidRPr="0069399F">
        <w:rPr>
          <w:lang w:val="fr-FR"/>
        </w:rPr>
        <w:t>Contrôle à la source: inspection fournisseurs / pré-shipment en RSA lorsque pertinent.</w:t>
      </w:r>
    </w:p>
    <w:p w14:paraId="2D1A782F" w14:textId="77777777" w:rsidR="001677E2" w:rsidRDefault="00000000">
      <w:pPr>
        <w:pStyle w:val="Heading1"/>
      </w:pPr>
      <w:r>
        <w:t>3. Pourquoi InfraDev.Africa</w:t>
      </w:r>
    </w:p>
    <w:p w14:paraId="6B817F4F" w14:textId="77777777" w:rsidR="001677E2" w:rsidRDefault="00000000">
      <w:pPr>
        <w:pStyle w:val="ListBullet"/>
        <w:spacing w:after="40"/>
        <w:ind w:left="425"/>
      </w:pPr>
      <w:r>
        <w:t>Structure: cabinet d’ingénierie &amp; advisory orienté gouvernance d’exécution (master planning, PPP/delivery, contrôle).</w:t>
      </w:r>
    </w:p>
    <w:p w14:paraId="61FDEA8A" w14:textId="77777777" w:rsidR="001677E2" w:rsidRPr="0069399F" w:rsidRDefault="00000000">
      <w:pPr>
        <w:pStyle w:val="ListBullet"/>
        <w:spacing w:after="40"/>
        <w:ind w:left="425"/>
        <w:rPr>
          <w:lang w:val="fr-FR"/>
        </w:rPr>
      </w:pPr>
      <w:r w:rsidRPr="0069399F">
        <w:rPr>
          <w:lang w:val="fr-FR"/>
        </w:rPr>
        <w:t>Approche: traçabilité (registres, grilles), preuves, reporting et discipline documentaire.</w:t>
      </w:r>
    </w:p>
    <w:p w14:paraId="651B9F40" w14:textId="77777777" w:rsidR="001677E2" w:rsidRPr="0069399F" w:rsidRDefault="00000000">
      <w:pPr>
        <w:pStyle w:val="ListBullet"/>
        <w:spacing w:after="40"/>
        <w:ind w:left="425"/>
        <w:rPr>
          <w:lang w:val="fr-FR"/>
        </w:rPr>
      </w:pPr>
      <w:r w:rsidRPr="0069399F">
        <w:rPr>
          <w:lang w:val="fr-FR"/>
        </w:rPr>
        <w:t>Neutralité: contrôle indépendant du management opérationnel du projet.</w:t>
      </w:r>
    </w:p>
    <w:p w14:paraId="6FB94266" w14:textId="77777777" w:rsidR="001677E2" w:rsidRDefault="00000000">
      <w:pPr>
        <w:pStyle w:val="InfraDevSmall"/>
        <w:spacing w:after="120"/>
      </w:pPr>
      <w:r>
        <w:rPr>
          <w:i/>
        </w:rPr>
        <w:t>InfraDev.Africa (Kumea Africa Holding SARL) — RCCM: CD/KNG/RCCM/24-B-01462 | IDNAT: 01-A0101-N49087K.</w:t>
      </w:r>
    </w:p>
    <w:p w14:paraId="31352F54" w14:textId="77777777" w:rsidR="001677E2" w:rsidRPr="0069399F" w:rsidRDefault="00000000">
      <w:pPr>
        <w:pStyle w:val="Heading1"/>
        <w:rPr>
          <w:lang w:val="fr-FR"/>
        </w:rPr>
      </w:pPr>
      <w:r w:rsidRPr="0069399F">
        <w:rPr>
          <w:lang w:val="fr-FR"/>
        </w:rPr>
        <w:t>4. Modèle économique (neutre pour le FPI)</w:t>
      </w:r>
    </w:p>
    <w:p w14:paraId="60656F1F" w14:textId="77777777" w:rsidR="001677E2" w:rsidRPr="0069399F" w:rsidRDefault="00000000">
      <w:pPr>
        <w:rPr>
          <w:lang w:val="fr-FR"/>
        </w:rPr>
      </w:pPr>
      <w:r w:rsidRPr="0069399F">
        <w:rPr>
          <w:lang w:val="fr-FR"/>
        </w:rPr>
        <w:t>Le DG a indiqué que la rémunération ne doit pas provenir du budget de fonctionnement du FPI. Le schéma proposé reste une imputation projet (CAPEX), mais avec un mécanisme qui protège l’indépendance du contrôleur: les honoraires du LTA/AMO sont préfinancés dans un compte séquestre (escrow) alimenté avant démarrage, et les paiements d’honoraires sont déclenchés automatiquement sur base des livrables remis au DG du FPI (sans approbation de l’opérateur). Ainsi, le projet finance la mission, mais ne peut pas « capturer » le contrôleur.</w:t>
      </w:r>
    </w:p>
    <w:p w14:paraId="2E64EEA6" w14:textId="77777777" w:rsidR="001677E2" w:rsidRPr="0069399F" w:rsidRDefault="00000000">
      <w:pPr>
        <w:pStyle w:val="Heading1"/>
        <w:rPr>
          <w:lang w:val="fr-FR"/>
        </w:rPr>
      </w:pPr>
      <w:r w:rsidRPr="0069399F">
        <w:rPr>
          <w:lang w:val="fr-FR"/>
        </w:rPr>
        <w:t>5. Périmètre — base + extensions possibles</w:t>
      </w:r>
    </w:p>
    <w:p w14:paraId="71242FD7" w14:textId="77777777" w:rsidR="001677E2" w:rsidRPr="0069399F" w:rsidRDefault="00000000">
      <w:pPr>
        <w:pStyle w:val="Heading2"/>
        <w:rPr>
          <w:lang w:val="fr-FR"/>
        </w:rPr>
      </w:pPr>
      <w:r w:rsidRPr="0069399F">
        <w:rPr>
          <w:lang w:val="fr-FR"/>
        </w:rPr>
        <w:t>Base (LTA/AMO)</w:t>
      </w:r>
    </w:p>
    <w:p w14:paraId="144C4DA2" w14:textId="77777777" w:rsidR="001677E2" w:rsidRPr="0069399F" w:rsidRDefault="00000000">
      <w:pPr>
        <w:pStyle w:val="ListBullet"/>
        <w:spacing w:after="40"/>
        <w:ind w:left="425"/>
        <w:rPr>
          <w:lang w:val="fr-FR"/>
        </w:rPr>
      </w:pPr>
      <w:r w:rsidRPr="0069399F">
        <w:rPr>
          <w:lang w:val="fr-FR"/>
        </w:rPr>
        <w:t>Audit initial (Boma + RSA) et mise en place outils de contrôle.</w:t>
      </w:r>
    </w:p>
    <w:p w14:paraId="4E4B0383" w14:textId="77777777" w:rsidR="001677E2" w:rsidRPr="0069399F" w:rsidRDefault="00000000">
      <w:pPr>
        <w:pStyle w:val="ListBullet"/>
        <w:spacing w:after="40"/>
        <w:ind w:left="425"/>
        <w:rPr>
          <w:lang w:val="fr-FR"/>
        </w:rPr>
      </w:pPr>
      <w:r w:rsidRPr="0069399F">
        <w:rPr>
          <w:lang w:val="fr-FR"/>
        </w:rPr>
        <w:t>Certifications de paiement (service fait) + grille de décaissement.</w:t>
      </w:r>
    </w:p>
    <w:p w14:paraId="2ED29341" w14:textId="77777777" w:rsidR="001677E2" w:rsidRPr="0069399F" w:rsidRDefault="00000000">
      <w:pPr>
        <w:pStyle w:val="ListBullet"/>
        <w:spacing w:after="40"/>
        <w:ind w:left="425"/>
        <w:rPr>
          <w:lang w:val="fr-FR"/>
        </w:rPr>
      </w:pPr>
      <w:r w:rsidRPr="0069399F">
        <w:rPr>
          <w:lang w:val="fr-FR"/>
        </w:rPr>
        <w:t>Rapports mensuels de conformité (CAPEX-&gt;assets + preuves physiques + chaîne documentaire) + alertes DG.</w:t>
      </w:r>
    </w:p>
    <w:p w14:paraId="5F67F635" w14:textId="77777777" w:rsidR="001677E2" w:rsidRPr="0069399F" w:rsidRDefault="00000000">
      <w:pPr>
        <w:pStyle w:val="InfraDevSmall"/>
        <w:rPr>
          <w:lang w:val="fr-FR"/>
        </w:rPr>
      </w:pPr>
      <w:r w:rsidRPr="0069399F">
        <w:rPr>
          <w:lang w:val="fr-FR"/>
        </w:rPr>
        <w:t>Limites de responsabilité (à formaliser): l’AMO/LTA certifie l’existence, l’intégrité et la fonctionnalité technique des actifs, ainsi que la traçabilité CAPEX. Il n’assume aucune responsabilité sur l’OPEX, la distribution, ni la viabilité commerciale des ventes d’engrais.</w:t>
      </w:r>
    </w:p>
    <w:p w14:paraId="325D480A" w14:textId="77777777" w:rsidR="001677E2" w:rsidRPr="0069399F" w:rsidRDefault="00000000">
      <w:pPr>
        <w:pStyle w:val="Heading2"/>
        <w:rPr>
          <w:lang w:val="fr-FR"/>
        </w:rPr>
      </w:pPr>
      <w:r w:rsidRPr="0069399F">
        <w:rPr>
          <w:lang w:val="fr-FR"/>
        </w:rPr>
        <w:lastRenderedPageBreak/>
        <w:t>Extensions (à intégrer si pertinent)</w:t>
      </w:r>
    </w:p>
    <w:p w14:paraId="3FA179FB" w14:textId="77777777" w:rsidR="001677E2" w:rsidRPr="0069399F" w:rsidRDefault="00000000">
      <w:pPr>
        <w:pStyle w:val="ListBullet"/>
        <w:spacing w:after="40"/>
        <w:ind w:left="425"/>
        <w:rPr>
          <w:lang w:val="fr-FR"/>
        </w:rPr>
      </w:pPr>
      <w:r w:rsidRPr="0069399F">
        <w:rPr>
          <w:lang w:val="fr-FR"/>
        </w:rPr>
        <w:t>Contrôle documentaire / PMO: circuit de validation, data-room, registres de correspondance, suivi des décisions.</w:t>
      </w:r>
    </w:p>
    <w:p w14:paraId="30D15D90" w14:textId="77777777" w:rsidR="001677E2" w:rsidRPr="0069399F" w:rsidRDefault="00000000">
      <w:pPr>
        <w:pStyle w:val="ListBullet"/>
        <w:spacing w:after="40"/>
        <w:ind w:left="425"/>
        <w:rPr>
          <w:lang w:val="fr-FR"/>
        </w:rPr>
      </w:pPr>
      <w:r w:rsidRPr="0069399F">
        <w:rPr>
          <w:lang w:val="fr-FR"/>
        </w:rPr>
        <w:t>Procurement watch: cohérence BOQ / commandes / livraisons / installations.</w:t>
      </w:r>
    </w:p>
    <w:p w14:paraId="6AFF2CCF" w14:textId="77777777" w:rsidR="001677E2" w:rsidRPr="0069399F" w:rsidRDefault="00000000">
      <w:pPr>
        <w:pStyle w:val="ListBullet"/>
        <w:spacing w:after="40"/>
        <w:ind w:left="425"/>
        <w:rPr>
          <w:lang w:val="fr-FR"/>
        </w:rPr>
      </w:pPr>
      <w:r w:rsidRPr="0069399F">
        <w:rPr>
          <w:lang w:val="fr-FR"/>
        </w:rPr>
        <w:t>ESG/HSE: registre risques, checklist terrain, log incidents et correctifs (si demandé).</w:t>
      </w:r>
    </w:p>
    <w:p w14:paraId="5A66F6AF" w14:textId="77777777" w:rsidR="001677E2" w:rsidRPr="0069399F" w:rsidRDefault="00000000">
      <w:pPr>
        <w:pStyle w:val="ListBullet"/>
        <w:spacing w:after="40"/>
        <w:ind w:left="425"/>
        <w:rPr>
          <w:lang w:val="fr-FR"/>
        </w:rPr>
      </w:pPr>
      <w:r w:rsidRPr="0069399F">
        <w:rPr>
          <w:lang w:val="fr-FR"/>
        </w:rPr>
        <w:t>Support « conformité » pour échanges BCC/IGF: note flash, annexes preuves, matrice risques.</w:t>
      </w:r>
    </w:p>
    <w:p w14:paraId="3B129096" w14:textId="77777777" w:rsidR="001677E2" w:rsidRPr="0069399F" w:rsidRDefault="00000000">
      <w:pPr>
        <w:pStyle w:val="ListBullet"/>
        <w:rPr>
          <w:lang w:val="fr-FR"/>
        </w:rPr>
      </w:pPr>
      <w:r w:rsidRPr="0069399F">
        <w:rPr>
          <w:lang w:val="fr-FR"/>
        </w:rPr>
        <w:t>Logistics readiness audit: accès route/port, zones de déchargement, interfaces logistiques nécessaires (sans juger la performance commerciale).</w:t>
      </w:r>
    </w:p>
    <w:p w14:paraId="52418B61" w14:textId="77777777" w:rsidR="001677E2" w:rsidRPr="0069399F" w:rsidRDefault="00000000">
      <w:pPr>
        <w:pStyle w:val="ListBullet"/>
        <w:rPr>
          <w:lang w:val="fr-FR"/>
        </w:rPr>
      </w:pPr>
      <w:r w:rsidRPr="0069399F">
        <w:rPr>
          <w:lang w:val="fr-FR"/>
        </w:rPr>
        <w:t>FX &amp; import-payment compliance watch: pour paiements offshore, exiger pièces réglementaires (Model IB/IS, attestations, preuves bancaires) et cohérence prix/quantités.</w:t>
      </w:r>
    </w:p>
    <w:p w14:paraId="378CED9E" w14:textId="77777777" w:rsidR="001677E2" w:rsidRPr="0069399F" w:rsidRDefault="00000000">
      <w:pPr>
        <w:pStyle w:val="ListBullet"/>
        <w:rPr>
          <w:lang w:val="fr-FR"/>
        </w:rPr>
      </w:pPr>
      <w:r w:rsidRPr="0069399F">
        <w:rPr>
          <w:lang w:val="fr-FR"/>
        </w:rPr>
        <w:t>Domanialité &amp; intégrité des limites du site: vérification titres/plan cadastral/PV de bornage (réduction risque de blocage communautaire/parastatal).</w:t>
      </w:r>
    </w:p>
    <w:p w14:paraId="34849706" w14:textId="77777777" w:rsidR="001677E2" w:rsidRPr="0069399F" w:rsidRDefault="00000000">
      <w:pPr>
        <w:pStyle w:val="ListBullet"/>
        <w:rPr>
          <w:lang w:val="fr-FR"/>
        </w:rPr>
      </w:pPr>
      <w:r w:rsidRPr="0069399F">
        <w:rPr>
          <w:lang w:val="fr-FR"/>
        </w:rPr>
        <w:t>Vendor integrity screen: RCCM, bénéficiaires effectifs, adresse physique, sanctions/PEP check proportionné (anti-sociétés-écrans).</w:t>
      </w:r>
    </w:p>
    <w:p w14:paraId="5DA285BD" w14:textId="77777777" w:rsidR="001677E2" w:rsidRPr="0069399F" w:rsidRDefault="00000000">
      <w:pPr>
        <w:pStyle w:val="ListBullet"/>
        <w:rPr>
          <w:lang w:val="fr-FR"/>
        </w:rPr>
      </w:pPr>
      <w:r w:rsidRPr="0069399F">
        <w:rPr>
          <w:lang w:val="fr-FR"/>
        </w:rPr>
        <w:t>Validation de la route procédurale: procédure normale vs exceptionnelle; traçabilité des engagements/ordonnancements quand applicable.</w:t>
      </w:r>
    </w:p>
    <w:p w14:paraId="3EF18538" w14:textId="77777777" w:rsidR="001677E2" w:rsidRPr="0069399F" w:rsidRDefault="00000000">
      <w:pPr>
        <w:pStyle w:val="InfraDevSmall"/>
        <w:spacing w:after="120"/>
        <w:rPr>
          <w:lang w:val="fr-FR"/>
        </w:rPr>
      </w:pPr>
      <w:r w:rsidRPr="0069399F">
        <w:rPr>
          <w:i/>
          <w:lang w:val="fr-FR"/>
        </w:rPr>
        <w:t>Ces extensions couvrent typiquement des fonctions de contrôle interne/risque et peuvent être calibrées selon les attentes du DG.</w:t>
      </w:r>
    </w:p>
    <w:p w14:paraId="52907BDA" w14:textId="77777777" w:rsidR="001677E2" w:rsidRPr="0069399F" w:rsidRDefault="00000000">
      <w:pPr>
        <w:pStyle w:val="Heading1"/>
        <w:rPr>
          <w:lang w:val="fr-FR"/>
        </w:rPr>
      </w:pPr>
      <w:r w:rsidRPr="0069399F">
        <w:rPr>
          <w:lang w:val="fr-FR"/>
        </w:rPr>
        <w:t>6. Plan d’action immédiat (J0–J15)</w:t>
      </w:r>
    </w:p>
    <w:p w14:paraId="0BEC311E" w14:textId="77777777" w:rsidR="001677E2" w:rsidRPr="0069399F" w:rsidRDefault="00000000">
      <w:pPr>
        <w:pStyle w:val="ListBullet"/>
        <w:spacing w:after="40"/>
        <w:ind w:left="425"/>
        <w:rPr>
          <w:lang w:val="fr-FR"/>
        </w:rPr>
      </w:pPr>
      <w:r w:rsidRPr="0069399F">
        <w:rPr>
          <w:lang w:val="fr-FR"/>
        </w:rPr>
        <w:t>J0: OS/mandat signé — accès site Boma + fournisseurs RSA.</w:t>
      </w:r>
    </w:p>
    <w:p w14:paraId="7F24F3FB" w14:textId="77777777" w:rsidR="001677E2" w:rsidRDefault="00000000">
      <w:pPr>
        <w:pStyle w:val="ListBullet"/>
        <w:spacing w:after="40"/>
        <w:ind w:left="425"/>
      </w:pPr>
      <w:r>
        <w:t>J1–J5: collecte docs clés + data-room minimum + protocole certification.</w:t>
      </w:r>
    </w:p>
    <w:p w14:paraId="47B0EB34" w14:textId="77777777" w:rsidR="001677E2" w:rsidRPr="0069399F" w:rsidRDefault="00000000">
      <w:pPr>
        <w:pStyle w:val="ListBullet"/>
        <w:spacing w:after="40"/>
        <w:ind w:left="425"/>
        <w:rPr>
          <w:lang w:val="fr-FR"/>
        </w:rPr>
      </w:pPr>
      <w:r w:rsidRPr="0069399F">
        <w:rPr>
          <w:lang w:val="fr-FR"/>
        </w:rPr>
        <w:t>J5–J10: visite Boma (inventaire contradictoire) + registre actifs v1.</w:t>
      </w:r>
    </w:p>
    <w:p w14:paraId="693C1004" w14:textId="77777777" w:rsidR="001677E2" w:rsidRPr="0069399F" w:rsidRDefault="00000000">
      <w:pPr>
        <w:pStyle w:val="ListBullet"/>
        <w:spacing w:after="40"/>
        <w:ind w:left="425"/>
        <w:rPr>
          <w:lang w:val="fr-FR"/>
        </w:rPr>
      </w:pPr>
      <w:r w:rsidRPr="0069399F">
        <w:rPr>
          <w:lang w:val="fr-FR"/>
        </w:rPr>
        <w:t>J10–J15: note « Flash » (2–3 pages) pour appuyer la levée des mesures conservatoires (BCC).</w:t>
      </w:r>
    </w:p>
    <w:p w14:paraId="403F5965" w14:textId="77777777" w:rsidR="001677E2" w:rsidRPr="0069399F" w:rsidRDefault="00000000">
      <w:pPr>
        <w:pStyle w:val="Heading1"/>
        <w:rPr>
          <w:lang w:val="fr-FR"/>
        </w:rPr>
      </w:pPr>
      <w:r w:rsidRPr="0069399F">
        <w:rPr>
          <w:lang w:val="fr-FR"/>
        </w:rPr>
        <w:t>7. Durée et continuité</w:t>
      </w:r>
    </w:p>
    <w:p w14:paraId="59555FC4" w14:textId="77777777" w:rsidR="001677E2" w:rsidRPr="0069399F" w:rsidRDefault="00000000">
      <w:pPr>
        <w:rPr>
          <w:lang w:val="fr-FR"/>
        </w:rPr>
      </w:pPr>
      <w:r w:rsidRPr="0069399F">
        <w:rPr>
          <w:lang w:val="fr-FR"/>
        </w:rPr>
        <w:t>Engagement minimum recommandé: 36 mois (3 ans) afin de rassurer la BCC sur la continuité du contrôle et couvrir le cycle d’exécution et de mise en régime. La charge est ajustable (retainer + missions terrain).</w:t>
      </w:r>
    </w:p>
    <w:p w14:paraId="3B47C782" w14:textId="77777777" w:rsidR="001677E2" w:rsidRPr="0069399F" w:rsidRDefault="00000000">
      <w:pPr>
        <w:pStyle w:val="Heading1"/>
        <w:rPr>
          <w:lang w:val="fr-FR"/>
        </w:rPr>
      </w:pPr>
      <w:r w:rsidRPr="0069399F">
        <w:rPr>
          <w:lang w:val="fr-FR"/>
        </w:rPr>
        <w:t>8. Points à verrouiller dans la négociation</w:t>
      </w:r>
    </w:p>
    <w:p w14:paraId="4BBD8FE1" w14:textId="77777777" w:rsidR="001677E2" w:rsidRPr="0069399F" w:rsidRDefault="00000000">
      <w:pPr>
        <w:pStyle w:val="ListBullet"/>
        <w:spacing w:after="40"/>
        <w:ind w:left="425"/>
        <w:rPr>
          <w:lang w:val="fr-FR"/>
        </w:rPr>
      </w:pPr>
      <w:r w:rsidRPr="0069399F">
        <w:rPr>
          <w:lang w:val="fr-FR"/>
        </w:rPr>
        <w:t>Mandat clair: droit d’accès, droit de demander preuves, droit de bloquer paiements non conformes.</w:t>
      </w:r>
    </w:p>
    <w:p w14:paraId="424599C8" w14:textId="77777777" w:rsidR="001677E2" w:rsidRPr="0069399F" w:rsidRDefault="00000000">
      <w:pPr>
        <w:pStyle w:val="ListBullet"/>
        <w:spacing w:after="40"/>
        <w:ind w:left="425"/>
        <w:rPr>
          <w:lang w:val="fr-FR"/>
        </w:rPr>
      </w:pPr>
      <w:r w:rsidRPr="0069399F">
        <w:rPr>
          <w:lang w:val="fr-FR"/>
        </w:rPr>
        <w:t>Canal DG: réunions régulières + alertes ad hoc.</w:t>
      </w:r>
    </w:p>
    <w:p w14:paraId="03296ED8" w14:textId="77777777" w:rsidR="001677E2" w:rsidRPr="0069399F" w:rsidRDefault="00000000">
      <w:pPr>
        <w:pStyle w:val="ListBullet"/>
        <w:spacing w:after="40"/>
        <w:ind w:left="425"/>
        <w:rPr>
          <w:lang w:val="fr-FR"/>
        </w:rPr>
      </w:pPr>
      <w:r w:rsidRPr="0069399F">
        <w:rPr>
          <w:lang w:val="fr-FR"/>
        </w:rPr>
        <w:t>Schéma contractuel: payeur AFRICOM, reporting DG FPI, indépendance InfraDev.</w:t>
      </w:r>
    </w:p>
    <w:p w14:paraId="678DF822" w14:textId="77777777" w:rsidR="001677E2" w:rsidRPr="0069399F" w:rsidRDefault="00000000">
      <w:pPr>
        <w:pStyle w:val="ListBullet"/>
        <w:spacing w:after="40"/>
        <w:ind w:left="425"/>
        <w:rPr>
          <w:lang w:val="fr-FR"/>
        </w:rPr>
      </w:pPr>
      <w:r w:rsidRPr="0069399F">
        <w:rPr>
          <w:lang w:val="fr-FR"/>
        </w:rPr>
        <w:t>Budget de contrôle: retainer + frais terrain; plafond adossé à la valeur totale du projet/contrat.</w:t>
      </w:r>
    </w:p>
    <w:p w14:paraId="4C751BE0" w14:textId="77777777" w:rsidR="001677E2" w:rsidRPr="0069399F" w:rsidRDefault="00000000">
      <w:pPr>
        <w:pStyle w:val="ListBullet"/>
        <w:spacing w:after="40"/>
        <w:ind w:left="425"/>
        <w:rPr>
          <w:lang w:val="fr-FR"/>
        </w:rPr>
      </w:pPr>
      <w:r w:rsidRPr="0069399F">
        <w:rPr>
          <w:lang w:val="fr-FR"/>
        </w:rPr>
        <w:t>Clause de remplacement: Key Expert soumis à accord DG.</w:t>
      </w:r>
    </w:p>
    <w:sectPr w:rsidR="001677E2" w:rsidRPr="0069399F" w:rsidSect="00034616">
      <w:headerReference w:type="even" r:id="rId8"/>
      <w:headerReference w:type="default" r:id="rId9"/>
      <w:footerReference w:type="default" r:id="rId10"/>
      <w:headerReference w:type="firs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88B1" w14:textId="77777777" w:rsidR="00113B6D" w:rsidRDefault="00113B6D">
      <w:pPr>
        <w:spacing w:after="0" w:line="240" w:lineRule="auto"/>
      </w:pPr>
      <w:r>
        <w:separator/>
      </w:r>
    </w:p>
  </w:endnote>
  <w:endnote w:type="continuationSeparator" w:id="0">
    <w:p w14:paraId="6A28E5FD" w14:textId="77777777" w:rsidR="00113B6D" w:rsidRDefault="00113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68618"/>
      <w:docPartObj>
        <w:docPartGallery w:val="Page Numbers (Bottom of Page)"/>
        <w:docPartUnique/>
      </w:docPartObj>
    </w:sdtPr>
    <w:sdtContent>
      <w:sdt>
        <w:sdtPr>
          <w:id w:val="-1769616900"/>
          <w:docPartObj>
            <w:docPartGallery w:val="Page Numbers (Top of Page)"/>
            <w:docPartUnique/>
          </w:docPartObj>
        </w:sdtPr>
        <w:sdtContent>
          <w:p w14:paraId="009A2D29" w14:textId="5D429D4E" w:rsidR="0069399F" w:rsidRDefault="0069399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17B3A684" w14:textId="070C5EB6" w:rsidR="001677E2" w:rsidRPr="0069399F" w:rsidRDefault="001677E2">
    <w:pPr>
      <w:pStyle w:val="InfraDevSmall"/>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CD94" w14:textId="77777777" w:rsidR="00113B6D" w:rsidRDefault="00113B6D">
      <w:pPr>
        <w:spacing w:after="0" w:line="240" w:lineRule="auto"/>
      </w:pPr>
      <w:r>
        <w:separator/>
      </w:r>
    </w:p>
  </w:footnote>
  <w:footnote w:type="continuationSeparator" w:id="0">
    <w:p w14:paraId="384F6682" w14:textId="77777777" w:rsidR="00113B6D" w:rsidRDefault="00113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6B79" w14:textId="46AA3C04" w:rsidR="0069399F" w:rsidRDefault="0069399F">
    <w:pPr>
      <w:pStyle w:val="Header"/>
    </w:pPr>
    <w:r>
      <w:rPr>
        <w:noProof/>
      </w:rPr>
      <w:pict w14:anchorId="736D64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385313" o:spid="_x0000_s1026" type="#_x0000_t136" style="position:absolute;margin-left:0;margin-top:0;width:565.8pt;height:121.2pt;rotation:315;z-index:-251655168;mso-position-horizontal:center;mso-position-horizontal-relative:margin;mso-position-vertical:center;mso-position-vertical-relative:margin" o:allowincell="f" fillcolor="#e00" stroked="f">
          <v:fill opacity=".5"/>
          <v:textpath style="font-family:&quot;Calibri&quot;;font-size:1pt" string="Confidential 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4680"/>
      <w:gridCol w:w="4680"/>
    </w:tblGrid>
    <w:tr w:rsidR="001677E2" w14:paraId="74A623AB" w14:textId="77777777">
      <w:trPr>
        <w:trHeight w:val="220"/>
        <w:jc w:val="center"/>
      </w:trPr>
      <w:tc>
        <w:tcPr>
          <w:tcW w:w="4680" w:type="dxa"/>
          <w:vMerge w:val="restart"/>
        </w:tcPr>
        <w:p w14:paraId="5BF77B9C" w14:textId="42625214" w:rsidR="001677E2" w:rsidRDefault="0069399F">
          <w:pPr>
            <w:spacing w:after="0"/>
          </w:pPr>
          <w:r>
            <w:rPr>
              <w:noProof/>
            </w:rPr>
            <w:pict w14:anchorId="74497D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385314" o:spid="_x0000_s1027" type="#_x0000_t136" style="position:absolute;margin-left:0;margin-top:0;width:565.8pt;height:121.2pt;rotation:315;z-index:-251653120;mso-position-horizontal:center;mso-position-horizontal-relative:margin;mso-position-vertical:center;mso-position-vertical-relative:margin" o:allowincell="f" fillcolor="#e00" stroked="f">
                <v:fill opacity=".5"/>
                <v:textpath style="font-family:&quot;Calibri&quot;;font-size:1pt" string="Confidential Draft"/>
              </v:shape>
            </w:pict>
          </w:r>
          <w:proofErr w:type="spellStart"/>
          <w:r w:rsidR="00000000">
            <w:rPr>
              <w:b/>
              <w:color w:val="1F2A44"/>
              <w:sz w:val="24"/>
            </w:rPr>
            <w:t>InfraDev.Africa</w:t>
          </w:r>
          <w:proofErr w:type="spellEnd"/>
        </w:p>
        <w:p w14:paraId="404E029D" w14:textId="77777777" w:rsidR="001677E2" w:rsidRDefault="00000000">
          <w:pPr>
            <w:pStyle w:val="InfraDevSmall"/>
            <w:spacing w:after="0"/>
          </w:pPr>
          <w:r>
            <w:t>Institutional Grade Advisory</w:t>
          </w:r>
        </w:p>
        <w:p w14:paraId="0BC70CF1" w14:textId="77777777" w:rsidR="001677E2" w:rsidRDefault="00000000">
          <w:pPr>
            <w:pStyle w:val="InfraDevSmall"/>
            <w:spacing w:after="0"/>
          </w:pPr>
          <w:r>
            <w:t>Feasibility • PPP / Delivery Structuring • Master Planning</w:t>
          </w:r>
        </w:p>
      </w:tc>
      <w:tc>
        <w:tcPr>
          <w:tcW w:w="4680" w:type="dxa"/>
          <w:vMerge w:val="restart"/>
        </w:tcPr>
        <w:p w14:paraId="6E482D19" w14:textId="77777777" w:rsidR="001677E2" w:rsidRDefault="00000000">
          <w:pPr>
            <w:spacing w:after="0"/>
            <w:jc w:val="right"/>
          </w:pPr>
          <w:r>
            <w:rPr>
              <w:b/>
              <w:color w:val="6B7280"/>
              <w:sz w:val="18"/>
            </w:rPr>
            <w:t>Kumea Africa Holding SARL</w:t>
          </w:r>
        </w:p>
        <w:p w14:paraId="61F71715" w14:textId="77777777" w:rsidR="001677E2" w:rsidRDefault="00000000">
          <w:pPr>
            <w:pStyle w:val="InfraDevSmall"/>
            <w:spacing w:after="0"/>
            <w:jc w:val="right"/>
          </w:pPr>
          <w:r>
            <w:t>RCCM: CD/KNG/RCCM/24-B-01462 | IDNAT: 01-A0101-N49087K</w:t>
          </w:r>
        </w:p>
        <w:p w14:paraId="5F3D7C55" w14:textId="77777777" w:rsidR="001677E2" w:rsidRPr="0069399F" w:rsidRDefault="00000000">
          <w:pPr>
            <w:pStyle w:val="InfraDevSmall"/>
            <w:spacing w:after="0"/>
            <w:jc w:val="right"/>
            <w:rPr>
              <w:lang w:val="fr-FR"/>
            </w:rPr>
          </w:pPr>
          <w:r w:rsidRPr="0069399F">
            <w:rPr>
              <w:lang w:val="fr-FR"/>
            </w:rPr>
            <w:t>15 Avenue du Grand Séminaire, Q/Nganda, C/</w:t>
          </w:r>
          <w:proofErr w:type="spellStart"/>
          <w:r w:rsidRPr="0069399F">
            <w:rPr>
              <w:lang w:val="fr-FR"/>
            </w:rPr>
            <w:t>Kintámbó</w:t>
          </w:r>
          <w:proofErr w:type="spellEnd"/>
          <w:r w:rsidRPr="0069399F">
            <w:rPr>
              <w:lang w:val="fr-FR"/>
            </w:rPr>
            <w:t>, Kinshasa, RDC</w:t>
          </w:r>
        </w:p>
        <w:p w14:paraId="54D7C4CF" w14:textId="77777777" w:rsidR="001677E2" w:rsidRDefault="00000000">
          <w:pPr>
            <w:pStyle w:val="InfraDevSmall"/>
            <w:jc w:val="right"/>
          </w:pPr>
          <w:proofErr w:type="spellStart"/>
          <w:r>
            <w:t>info@infradev.africa</w:t>
          </w:r>
          <w:proofErr w:type="spellEnd"/>
          <w:r>
            <w:t xml:space="preserve"> | +243 89 11 87 001</w:t>
          </w:r>
        </w:p>
      </w:tc>
    </w:tr>
    <w:tr w:rsidR="001677E2" w14:paraId="61B6F7CF" w14:textId="77777777">
      <w:trPr>
        <w:trHeight w:val="429"/>
        <w:jc w:val="center"/>
      </w:trPr>
      <w:tc>
        <w:tcPr>
          <w:tcW w:w="4680" w:type="dxa"/>
          <w:vMerge/>
        </w:tcPr>
        <w:p w14:paraId="24B35B99" w14:textId="77777777" w:rsidR="001677E2" w:rsidRDefault="001677E2"/>
      </w:tc>
      <w:tc>
        <w:tcPr>
          <w:tcW w:w="4680" w:type="dxa"/>
          <w:vMerge/>
        </w:tcPr>
        <w:p w14:paraId="0FCDB575" w14:textId="77777777" w:rsidR="001677E2" w:rsidRDefault="001677E2"/>
      </w:tc>
    </w:tr>
  </w:tbl>
  <w:p w14:paraId="434DA3C7" w14:textId="77777777" w:rsidR="001677E2" w:rsidRDefault="001677E2">
    <w:pPr>
      <w:pBdr>
        <w:bottom w:val="single" w:sz="10" w:space="1" w:color="1F2A44"/>
      </w:pBdr>
      <w:spacing w:after="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D3C6" w14:textId="165547C8" w:rsidR="0069399F" w:rsidRDefault="0069399F">
    <w:pPr>
      <w:pStyle w:val="Header"/>
    </w:pPr>
    <w:r>
      <w:rPr>
        <w:noProof/>
      </w:rPr>
      <w:pict w14:anchorId="0C1B81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385312" o:spid="_x0000_s1025" type="#_x0000_t136" style="position:absolute;margin-left:0;margin-top:0;width:565.8pt;height:121.2pt;rotation:315;z-index:-251657216;mso-position-horizontal:center;mso-position-horizontal-relative:margin;mso-position-vertical:center;mso-position-vertical-relative:margin" o:allowincell="f" fillcolor="#e00" stroked="f">
          <v:fill opacity=".5"/>
          <v:textpath style="font-family:&quot;Calibri&quot;;font-size:1pt" string="Confidential 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492678">
    <w:abstractNumId w:val="8"/>
  </w:num>
  <w:num w:numId="2" w16cid:durableId="495459438">
    <w:abstractNumId w:val="6"/>
  </w:num>
  <w:num w:numId="3" w16cid:durableId="246040063">
    <w:abstractNumId w:val="5"/>
  </w:num>
  <w:num w:numId="4" w16cid:durableId="1247417106">
    <w:abstractNumId w:val="4"/>
  </w:num>
  <w:num w:numId="5" w16cid:durableId="243690256">
    <w:abstractNumId w:val="7"/>
  </w:num>
  <w:num w:numId="6" w16cid:durableId="1371956263">
    <w:abstractNumId w:val="3"/>
  </w:num>
  <w:num w:numId="7" w16cid:durableId="882670602">
    <w:abstractNumId w:val="2"/>
  </w:num>
  <w:num w:numId="8" w16cid:durableId="1235240336">
    <w:abstractNumId w:val="1"/>
  </w:num>
  <w:num w:numId="9" w16cid:durableId="77058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6D"/>
    <w:rsid w:val="0015074B"/>
    <w:rsid w:val="001677E2"/>
    <w:rsid w:val="0029639D"/>
    <w:rsid w:val="00326F90"/>
    <w:rsid w:val="0069399F"/>
    <w:rsid w:val="00AA1D8D"/>
    <w:rsid w:val="00B47730"/>
    <w:rsid w:val="00CB0664"/>
    <w:rsid w:val="00F275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4AC74D"/>
  <w14:defaultImageDpi w14:val="300"/>
  <w15:docId w15:val="{E7A34A26-A4C7-43E1-83DA-F7015DCC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raDevTitle">
    <w:name w:val="InfraDev Title"/>
    <w:basedOn w:val="Title"/>
    <w:pPr>
      <w:spacing w:after="200" w:line="252" w:lineRule="auto"/>
    </w:pPr>
    <w:rPr>
      <w:rFonts w:ascii="Calibri" w:hAnsi="Calibri"/>
      <w:b/>
      <w:color w:val="1F2A44"/>
      <w:sz w:val="40"/>
    </w:rPr>
  </w:style>
  <w:style w:type="paragraph" w:customStyle="1" w:styleId="InfraDevSmall">
    <w:name w:val="InfraDev Small"/>
    <w:pPr>
      <w:spacing w:after="40" w:line="240" w:lineRule="auto"/>
    </w:pPr>
    <w:rPr>
      <w:rFonts w:ascii="Calibri" w:hAnsi="Calibri"/>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 Kivoto Isengingo</cp:lastModifiedBy>
  <cp:revision>2</cp:revision>
  <dcterms:created xsi:type="dcterms:W3CDTF">2013-12-23T23:15:00Z</dcterms:created>
  <dcterms:modified xsi:type="dcterms:W3CDTF">2026-02-11T19:43:00Z</dcterms:modified>
  <cp:category/>
</cp:coreProperties>
</file>