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50B38" w14:paraId="6839ECD5" w14:textId="77777777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F61C3" w14:textId="77777777" w:rsidR="00B50B38" w:rsidRDefault="00000000">
            <w:r>
              <w:rPr>
                <w:noProof/>
              </w:rPr>
              <w:drawing>
                <wp:inline distT="0" distB="0" distL="0" distR="0" wp14:anchorId="5B5FB28D" wp14:editId="0151BEEB">
                  <wp:extent cx="1152000" cy="115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 InfraDev.Afric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6438A" w14:textId="77777777" w:rsidR="00B50B38" w:rsidRDefault="00000000">
            <w:pPr>
              <w:spacing w:after="0"/>
            </w:pPr>
            <w:r>
              <w:rPr>
                <w:b/>
                <w:color w:val="1E2846"/>
                <w:sz w:val="36"/>
              </w:rPr>
              <w:t>CAPABILITY STATEMENT</w:t>
            </w:r>
            <w:r>
              <w:rPr>
                <w:b/>
                <w:color w:val="1E2846"/>
                <w:sz w:val="36"/>
              </w:rPr>
              <w:br/>
            </w:r>
            <w:r>
              <w:rPr>
                <w:b/>
                <w:color w:val="5A6478"/>
                <w:sz w:val="23"/>
              </w:rPr>
              <w:t>InfraDev.Africa | Solutionists</w:t>
            </w:r>
          </w:p>
        </w:tc>
      </w:tr>
    </w:tbl>
    <w:p w14:paraId="113F9035" w14:textId="77777777" w:rsidR="00B50B38" w:rsidRDefault="00B50B38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50B38" w14:paraId="67BC164F" w14:textId="77777777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4E8BF926" w14:textId="77777777" w:rsidR="00B50B38" w:rsidRDefault="00B50B38"/>
          <w:p w14:paraId="6AE213F9" w14:textId="77777777" w:rsidR="00B50B38" w:rsidRDefault="00000000">
            <w:pPr>
              <w:spacing w:before="80" w:after="40"/>
            </w:pPr>
            <w:r>
              <w:rPr>
                <w:b/>
                <w:color w:val="1E2846"/>
                <w:sz w:val="24"/>
              </w:rPr>
              <w:t>Who we are</w:t>
            </w:r>
          </w:p>
          <w:p w14:paraId="7E252A3E" w14:textId="77777777" w:rsidR="00B50B38" w:rsidRDefault="00000000">
            <w:pPr>
              <w:spacing w:after="60"/>
            </w:pPr>
            <w:r>
              <w:t>InfraDev.Africa is a strategic infrastructure advisory and delivery-support firm focused on making projects feasible, bankable, and executable in African contexts.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72D29737" w14:textId="77777777" w:rsidR="00B50B38" w:rsidRDefault="00B50B38"/>
          <w:p w14:paraId="13FFFB37" w14:textId="77777777" w:rsidR="00B50B38" w:rsidRDefault="00000000">
            <w:pPr>
              <w:spacing w:before="80" w:after="40"/>
            </w:pPr>
            <w:r>
              <w:rPr>
                <w:b/>
                <w:color w:val="1E2846"/>
                <w:sz w:val="24"/>
              </w:rPr>
              <w:t>Sectors</w:t>
            </w:r>
          </w:p>
          <w:p w14:paraId="5E55258D" w14:textId="77777777" w:rsidR="00B50B38" w:rsidRDefault="00000000">
            <w:pPr>
              <w:pStyle w:val="ListBullet"/>
              <w:spacing w:after="20"/>
            </w:pPr>
            <w:r>
              <w:rPr>
                <w:sz w:val="20"/>
              </w:rPr>
              <w:t>Power systems: transmission and distribution planning, renewables integration</w:t>
            </w:r>
          </w:p>
          <w:p w14:paraId="038E7163" w14:textId="77777777" w:rsidR="00B50B38" w:rsidRDefault="00000000">
            <w:pPr>
              <w:pStyle w:val="ListBullet"/>
              <w:spacing w:after="20"/>
            </w:pPr>
            <w:r>
              <w:rPr>
                <w:sz w:val="20"/>
              </w:rPr>
              <w:t>Decentralised energy: mini-grids, hybrid systems, storage deployment</w:t>
            </w:r>
          </w:p>
          <w:p w14:paraId="0AA08A4E" w14:textId="77777777" w:rsidR="00B50B38" w:rsidRDefault="00000000">
            <w:pPr>
              <w:pStyle w:val="ListBullet"/>
              <w:spacing w:after="20"/>
            </w:pPr>
            <w:r>
              <w:rPr>
                <w:sz w:val="20"/>
              </w:rPr>
              <w:t>Urban infrastructure: mobility, housing enabling works, city services</w:t>
            </w:r>
          </w:p>
          <w:p w14:paraId="4BE693AC" w14:textId="77777777" w:rsidR="00B50B38" w:rsidRDefault="00000000">
            <w:pPr>
              <w:pStyle w:val="ListBullet"/>
              <w:spacing w:after="20"/>
            </w:pPr>
            <w:r>
              <w:rPr>
                <w:sz w:val="20"/>
              </w:rPr>
              <w:t>Water and sanitation: access systems, program design, delivery monitoring</w:t>
            </w:r>
          </w:p>
        </w:tc>
      </w:tr>
      <w:tr w:rsidR="00B50B38" w14:paraId="2F9E295A" w14:textId="77777777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35B0B2F6" w14:textId="77777777" w:rsidR="00B50B38" w:rsidRDefault="00B50B38"/>
          <w:p w14:paraId="56CE4E2C" w14:textId="77777777" w:rsidR="00B50B38" w:rsidRDefault="00000000">
            <w:pPr>
              <w:spacing w:before="80" w:after="40"/>
            </w:pPr>
            <w:r>
              <w:rPr>
                <w:b/>
                <w:color w:val="1E2846"/>
                <w:sz w:val="24"/>
              </w:rPr>
              <w:t>Core services</w:t>
            </w:r>
          </w:p>
          <w:p w14:paraId="4399E0C6" w14:textId="77777777" w:rsidR="00B50B38" w:rsidRDefault="00000000">
            <w:pPr>
              <w:pStyle w:val="ListBullet"/>
              <w:spacing w:after="20"/>
            </w:pPr>
            <w:r>
              <w:rPr>
                <w:sz w:val="20"/>
              </w:rPr>
              <w:t>Master planning and investment roadmaps (cities, corridors, SEZs, utilities)</w:t>
            </w:r>
          </w:p>
          <w:p w14:paraId="0150F043" w14:textId="77777777" w:rsidR="00B50B38" w:rsidRDefault="00000000">
            <w:pPr>
              <w:pStyle w:val="ListBullet"/>
              <w:spacing w:after="20"/>
            </w:pPr>
            <w:r>
              <w:rPr>
                <w:sz w:val="20"/>
              </w:rPr>
              <w:t>Pre-feasibility and feasibility studies (technical, financial, ESG)</w:t>
            </w:r>
          </w:p>
          <w:p w14:paraId="191DF623" w14:textId="77777777" w:rsidR="00B50B38" w:rsidRDefault="00000000">
            <w:pPr>
              <w:pStyle w:val="ListBullet"/>
              <w:spacing w:after="20"/>
            </w:pPr>
            <w:r>
              <w:rPr>
                <w:sz w:val="20"/>
              </w:rPr>
              <w:t>PPP and transaction support (structuring, risk allocation, procurement packs)</w:t>
            </w:r>
          </w:p>
          <w:p w14:paraId="2D784E3F" w14:textId="77777777" w:rsidR="00B50B38" w:rsidRDefault="00000000">
            <w:pPr>
              <w:pStyle w:val="ListBullet"/>
              <w:spacing w:after="20"/>
            </w:pPr>
            <w:r>
              <w:rPr>
                <w:sz w:val="20"/>
              </w:rPr>
              <w:t>Lender and investor due diligence support (data rooms, technical review)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7B5E8855" w14:textId="77777777" w:rsidR="00B50B38" w:rsidRDefault="00B50B38"/>
          <w:p w14:paraId="74A12B56" w14:textId="77777777" w:rsidR="00B50B38" w:rsidRDefault="00000000">
            <w:pPr>
              <w:spacing w:before="80" w:after="40"/>
            </w:pPr>
            <w:r>
              <w:rPr>
                <w:b/>
                <w:color w:val="1E2846"/>
                <w:sz w:val="24"/>
              </w:rPr>
              <w:t>Why InfraDev</w:t>
            </w:r>
          </w:p>
          <w:p w14:paraId="66086D9D" w14:textId="77777777" w:rsidR="00B50B38" w:rsidRDefault="00000000">
            <w:pPr>
              <w:pStyle w:val="ListBullet"/>
              <w:spacing w:after="20"/>
            </w:pPr>
            <w:r>
              <w:rPr>
                <w:sz w:val="20"/>
              </w:rPr>
              <w:t>Systems thinking: we treat energy, water, health, logistics and governance as one connected machine.</w:t>
            </w:r>
          </w:p>
          <w:p w14:paraId="6C62051C" w14:textId="77777777" w:rsidR="00B50B38" w:rsidRDefault="00000000">
            <w:pPr>
              <w:pStyle w:val="ListBullet"/>
              <w:spacing w:after="20"/>
            </w:pPr>
            <w:r>
              <w:rPr>
                <w:sz w:val="20"/>
              </w:rPr>
              <w:t>Context fluency: African delivery realities, stakeholder dynamics, and procurement constraints.</w:t>
            </w:r>
          </w:p>
          <w:p w14:paraId="076B04A7" w14:textId="77777777" w:rsidR="00B50B38" w:rsidRDefault="00000000">
            <w:pPr>
              <w:pStyle w:val="ListBullet"/>
              <w:spacing w:after="20"/>
            </w:pPr>
            <w:r>
              <w:rPr>
                <w:sz w:val="20"/>
              </w:rPr>
              <w:t>Boardroom plus field: rigorous documents that still survive real sites and messy data.</w:t>
            </w:r>
          </w:p>
        </w:tc>
      </w:tr>
      <w:tr w:rsidR="00B50B38" w14:paraId="46188EA2" w14:textId="77777777"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A51B63" w14:textId="77777777" w:rsidR="00B50B38" w:rsidRDefault="00B50B38"/>
          <w:p w14:paraId="16189FED" w14:textId="77777777" w:rsidR="00B50B38" w:rsidRDefault="00000000">
            <w:pPr>
              <w:spacing w:before="80" w:after="40"/>
            </w:pPr>
            <w:r>
              <w:rPr>
                <w:b/>
                <w:color w:val="1E2846"/>
                <w:sz w:val="24"/>
              </w:rPr>
              <w:t>How we work</w:t>
            </w:r>
          </w:p>
          <w:p w14:paraId="49BBFD58" w14:textId="77777777" w:rsidR="00B50B38" w:rsidRDefault="00000000">
            <w:pPr>
              <w:spacing w:after="20"/>
            </w:pPr>
            <w:r>
              <w:rPr>
                <w:sz w:val="20"/>
              </w:rPr>
              <w:t>Typical engagement formats:</w:t>
            </w:r>
          </w:p>
          <w:p w14:paraId="4BF3064A" w14:textId="77777777" w:rsidR="00B50B38" w:rsidRDefault="00000000">
            <w:pPr>
              <w:pStyle w:val="ListBullet"/>
              <w:spacing w:after="20"/>
            </w:pPr>
            <w:r>
              <w:rPr>
                <w:sz w:val="20"/>
              </w:rPr>
              <w:t>Rapid diagnostic (2-4 weeks)</w:t>
            </w:r>
          </w:p>
          <w:p w14:paraId="45451F3F" w14:textId="77777777" w:rsidR="00B50B38" w:rsidRDefault="00000000">
            <w:pPr>
              <w:pStyle w:val="ListBullet"/>
              <w:spacing w:after="20"/>
            </w:pPr>
            <w:r>
              <w:rPr>
                <w:sz w:val="20"/>
              </w:rPr>
              <w:t>Feasibility / structuring (6-16 weeks)</w:t>
            </w:r>
          </w:p>
          <w:p w14:paraId="07CC8FFA" w14:textId="77777777" w:rsidR="00B50B38" w:rsidRDefault="00000000">
            <w:pPr>
              <w:pStyle w:val="ListBullet"/>
              <w:spacing w:after="20"/>
            </w:pPr>
            <w:r>
              <w:rPr>
                <w:sz w:val="20"/>
              </w:rPr>
              <w:t>Delivery support / PMO (3-18 months)</w:t>
            </w:r>
          </w:p>
          <w:p w14:paraId="7541022A" w14:textId="77777777" w:rsidR="00B50B38" w:rsidRDefault="00000000">
            <w:pPr>
              <w:spacing w:after="80"/>
              <w:rPr>
                <w:sz w:val="20"/>
              </w:rPr>
            </w:pPr>
            <w:r>
              <w:rPr>
                <w:sz w:val="20"/>
              </w:rPr>
              <w:t>Primary geography: DRC with pan-African execution through partnerships.</w:t>
            </w:r>
          </w:p>
          <w:p w14:paraId="4DBC265D" w14:textId="77777777" w:rsidR="00727188" w:rsidRDefault="00727188">
            <w:pPr>
              <w:spacing w:after="80"/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190"/>
      </w:tblGrid>
      <w:tr w:rsidR="00B50B38" w14:paraId="104A775C" w14:textId="77777777">
        <w:tc>
          <w:tcPr>
            <w:tcW w:w="1020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3F5F8"/>
            <w:vAlign w:val="center"/>
          </w:tcPr>
          <w:p w14:paraId="1673169F" w14:textId="77777777" w:rsidR="00B50B38" w:rsidRDefault="00000000">
            <w:pPr>
              <w:spacing w:before="80" w:after="40"/>
            </w:pPr>
            <w:r>
              <w:rPr>
                <w:b/>
                <w:color w:val="1E2846"/>
                <w:sz w:val="24"/>
              </w:rPr>
              <w:t>Contact</w:t>
            </w:r>
          </w:p>
          <w:p w14:paraId="58379964" w14:textId="77777777" w:rsidR="00B50B38" w:rsidRDefault="00000000">
            <w:pPr>
              <w:spacing w:after="0"/>
            </w:pPr>
            <w:r>
              <w:rPr>
                <w:sz w:val="20"/>
              </w:rPr>
              <w:t>Managing Director: Ted Kivoto Isengingo  |  Website: www.infradev.africa</w:t>
            </w:r>
          </w:p>
          <w:p w14:paraId="6804840B" w14:textId="77777777" w:rsidR="00B50B38" w:rsidRDefault="00000000">
            <w:pPr>
              <w:spacing w:after="40"/>
            </w:pPr>
            <w:r>
              <w:rPr>
                <w:sz w:val="20"/>
              </w:rPr>
              <w:t>Address: 16 Av Lokele, Gombe, Kinshasa, DRC</w:t>
            </w:r>
          </w:p>
        </w:tc>
      </w:tr>
    </w:tbl>
    <w:p w14:paraId="13D1C457" w14:textId="77777777" w:rsidR="00B50B38" w:rsidRDefault="00B50B38">
      <w:pPr>
        <w:sectPr w:rsidR="00B50B38">
          <w:footerReference w:type="default" r:id="rId9"/>
          <w:pgSz w:w="11906" w:h="16838"/>
          <w:pgMar w:top="850" w:right="850" w:bottom="850" w:left="850" w:header="720" w:footer="397" w:gutter="0"/>
          <w:cols w:space="720"/>
          <w:docGrid w:linePitch="360"/>
        </w:sectPr>
      </w:pPr>
    </w:p>
    <w:p w14:paraId="7165EEC1" w14:textId="77777777" w:rsidR="00B50B38" w:rsidRDefault="00000000">
      <w:pPr>
        <w:spacing w:after="40"/>
      </w:pPr>
      <w:r>
        <w:rPr>
          <w:b/>
          <w:color w:val="1E2846"/>
          <w:sz w:val="30"/>
        </w:rPr>
        <w:lastRenderedPageBreak/>
        <w:t>TRACK RECORD &amp; DELIVERABLES</w:t>
      </w:r>
    </w:p>
    <w:p w14:paraId="6E85684F" w14:textId="77777777" w:rsidR="00B50B38" w:rsidRDefault="00000000">
      <w:pPr>
        <w:spacing w:after="120"/>
      </w:pPr>
      <w:r>
        <w:rPr>
          <w:i/>
          <w:color w:val="5A6478"/>
          <w:sz w:val="19"/>
        </w:rPr>
        <w:t>Representative experience of leadership and typical outputs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50B38" w14:paraId="6C3195E9" w14:textId="77777777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0EFF84D4" w14:textId="77777777" w:rsidR="00B50B38" w:rsidRDefault="00B50B38"/>
          <w:p w14:paraId="7B9782AB" w14:textId="77777777" w:rsidR="00B50B38" w:rsidRDefault="00000000">
            <w:pPr>
              <w:spacing w:before="80" w:after="40"/>
            </w:pPr>
            <w:r>
              <w:rPr>
                <w:b/>
                <w:color w:val="1E2846"/>
                <w:sz w:val="24"/>
              </w:rPr>
              <w:t>Experience</w:t>
            </w:r>
          </w:p>
          <w:p w14:paraId="7E7CC929" w14:textId="77777777" w:rsidR="00B50B38" w:rsidRDefault="00000000">
            <w:pPr>
              <w:spacing w:after="20"/>
            </w:pPr>
            <w:r>
              <w:rPr>
                <w:sz w:val="19"/>
              </w:rPr>
              <w:t>Selected leadership experience (prior roles) - used to inform InfraDev delivery quality and standards:</w:t>
            </w:r>
          </w:p>
          <w:p w14:paraId="143E3198" w14:textId="77777777" w:rsidR="00B50B38" w:rsidRDefault="00000000">
            <w:pPr>
              <w:pStyle w:val="ListBullet"/>
              <w:spacing w:after="20"/>
            </w:pPr>
            <w:r>
              <w:rPr>
                <w:sz w:val="19"/>
              </w:rPr>
              <w:t>Power networks planning and advisory across Africa (transmission/distribution, renewables integration).</w:t>
            </w:r>
          </w:p>
          <w:p w14:paraId="310145E6" w14:textId="77777777" w:rsidR="00B50B38" w:rsidRDefault="00000000">
            <w:pPr>
              <w:pStyle w:val="ListBullet"/>
              <w:spacing w:after="20"/>
            </w:pPr>
            <w:r>
              <w:rPr>
                <w:sz w:val="19"/>
              </w:rPr>
              <w:t>Senegal grid stability support (USAID/USEA programme with Mott MacDonald, 2017-2019): technical facilitation, bilingual delivery, data collection and dynamic model support (CYME), and capacity-building recommendations.</w:t>
            </w:r>
          </w:p>
          <w:p w14:paraId="18E34C71" w14:textId="77777777" w:rsidR="00B50B38" w:rsidRDefault="00000000">
            <w:pPr>
              <w:pStyle w:val="ListBullet"/>
              <w:spacing w:after="20"/>
            </w:pPr>
            <w:r>
              <w:rPr>
                <w:sz w:val="19"/>
              </w:rPr>
              <w:t>Luanda integrated planning assignments (master planning / infrastructure coordination).</w:t>
            </w:r>
          </w:p>
          <w:p w14:paraId="62F85441" w14:textId="77777777" w:rsidR="00B50B38" w:rsidRDefault="00000000">
            <w:pPr>
              <w:pStyle w:val="ListBullet"/>
              <w:spacing w:after="20"/>
            </w:pPr>
            <w:r>
              <w:rPr>
                <w:sz w:val="19"/>
              </w:rPr>
              <w:t>Ghana gas-to-power strategy support (Genser Energy): commercial and delivery-oriented advisory.</w:t>
            </w:r>
          </w:p>
          <w:p w14:paraId="6BC52D35" w14:textId="77777777" w:rsidR="00B50B38" w:rsidRDefault="00000000">
            <w:pPr>
              <w:pStyle w:val="ListBullet"/>
              <w:spacing w:after="20"/>
            </w:pPr>
            <w:r>
              <w:rPr>
                <w:sz w:val="19"/>
              </w:rPr>
              <w:t>Company-managed healthcare system transformation (Watu Wetu Health System): multi-phase programme design, governance and performance tracking.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0664442B" w14:textId="77777777" w:rsidR="00B50B38" w:rsidRDefault="00B50B38"/>
          <w:p w14:paraId="4F97C71D" w14:textId="77777777" w:rsidR="00B50B38" w:rsidRDefault="00000000">
            <w:pPr>
              <w:spacing w:before="80" w:after="40"/>
            </w:pPr>
            <w:r>
              <w:rPr>
                <w:b/>
                <w:color w:val="1E2846"/>
                <w:sz w:val="24"/>
              </w:rPr>
              <w:t>Deliverables</w:t>
            </w:r>
          </w:p>
          <w:p w14:paraId="0CBE84CC" w14:textId="77777777" w:rsidR="00B50B38" w:rsidRDefault="00000000">
            <w:pPr>
              <w:spacing w:after="20"/>
            </w:pPr>
            <w:r>
              <w:rPr>
                <w:sz w:val="19"/>
              </w:rPr>
              <w:t>Outputs we produce (examples):</w:t>
            </w:r>
          </w:p>
          <w:p w14:paraId="03F930BF" w14:textId="77777777" w:rsidR="00B50B38" w:rsidRDefault="00000000">
            <w:pPr>
              <w:pStyle w:val="ListBullet"/>
              <w:spacing w:after="20"/>
            </w:pPr>
            <w:r>
              <w:rPr>
                <w:sz w:val="19"/>
              </w:rPr>
              <w:t>Feasibility reports (technical, economic, financial model interface, ESG)</w:t>
            </w:r>
          </w:p>
          <w:p w14:paraId="09CFD06E" w14:textId="77777777" w:rsidR="00B50B38" w:rsidRDefault="00000000">
            <w:pPr>
              <w:pStyle w:val="ListBullet"/>
              <w:spacing w:after="20"/>
            </w:pPr>
            <w:r>
              <w:rPr>
                <w:sz w:val="19"/>
              </w:rPr>
              <w:t>Investment notes and decision memos for boards and DFIs</w:t>
            </w:r>
          </w:p>
          <w:p w14:paraId="047BB28E" w14:textId="77777777" w:rsidR="00B50B38" w:rsidRDefault="00000000">
            <w:pPr>
              <w:pStyle w:val="ListBullet"/>
              <w:spacing w:after="20"/>
            </w:pPr>
            <w:r>
              <w:rPr>
                <w:sz w:val="19"/>
              </w:rPr>
              <w:t>PPP / procurement packs: TORs, RFPs, evaluation frameworks, draft risk matrices</w:t>
            </w:r>
          </w:p>
          <w:p w14:paraId="187D939B" w14:textId="77777777" w:rsidR="00B50B38" w:rsidRDefault="00000000">
            <w:pPr>
              <w:pStyle w:val="ListBullet"/>
              <w:spacing w:after="20"/>
            </w:pPr>
            <w:r>
              <w:rPr>
                <w:sz w:val="19"/>
              </w:rPr>
              <w:t>Implementation plans: phased roadmaps, CAPEX/OPEX logic, governance and reporting systems</w:t>
            </w:r>
          </w:p>
          <w:p w14:paraId="2494669F" w14:textId="77777777" w:rsidR="00B50B38" w:rsidRDefault="00000000">
            <w:pPr>
              <w:pStyle w:val="ListBullet"/>
              <w:spacing w:after="20"/>
            </w:pPr>
            <w:r>
              <w:rPr>
                <w:sz w:val="19"/>
              </w:rPr>
              <w:t>Dashboards: progress tracking, KPI trees, action logs, stakeholder maps</w:t>
            </w:r>
          </w:p>
        </w:tc>
      </w:tr>
      <w:tr w:rsidR="00B50B38" w14:paraId="568295B3" w14:textId="77777777"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50F5AB" w14:textId="77777777" w:rsidR="00B50B38" w:rsidRDefault="00B50B38"/>
          <w:p w14:paraId="4DED7BDC" w14:textId="77777777" w:rsidR="00B50B38" w:rsidRDefault="00000000">
            <w:pPr>
              <w:spacing w:before="80" w:after="40"/>
            </w:pPr>
            <w:r>
              <w:rPr>
                <w:b/>
                <w:color w:val="1E2846"/>
                <w:sz w:val="24"/>
              </w:rPr>
              <w:t>Delivery principles</w:t>
            </w:r>
          </w:p>
          <w:p w14:paraId="2AB57F7D" w14:textId="77777777" w:rsidR="00B50B38" w:rsidRDefault="00000000">
            <w:pPr>
              <w:pStyle w:val="ListBullet"/>
              <w:spacing w:after="20"/>
            </w:pPr>
            <w:r>
              <w:rPr>
                <w:sz w:val="19"/>
              </w:rPr>
              <w:t>Evidence-first: assumptions labelled, data gaps logged, decisions traceable.</w:t>
            </w:r>
          </w:p>
          <w:p w14:paraId="0FE8ACB7" w14:textId="77777777" w:rsidR="00B50B38" w:rsidRDefault="00000000">
            <w:pPr>
              <w:pStyle w:val="ListBullet"/>
              <w:spacing w:after="20"/>
            </w:pPr>
            <w:r>
              <w:rPr>
                <w:sz w:val="19"/>
              </w:rPr>
              <w:t>Bankability: we write for lenders, not for theatre.</w:t>
            </w:r>
          </w:p>
          <w:p w14:paraId="6C3694D6" w14:textId="77777777" w:rsidR="00B50B38" w:rsidRDefault="00000000">
            <w:pPr>
              <w:pStyle w:val="ListBullet"/>
              <w:spacing w:after="20"/>
            </w:pPr>
            <w:r>
              <w:rPr>
                <w:sz w:val="19"/>
              </w:rPr>
              <w:t>Localisation: designs adapted to procurement, operations, and skills realities.</w:t>
            </w:r>
          </w:p>
          <w:p w14:paraId="04F8C3F7" w14:textId="77777777" w:rsidR="00B50B38" w:rsidRDefault="00000000">
            <w:pPr>
              <w:pStyle w:val="ListBullet"/>
              <w:spacing w:after="20"/>
            </w:pPr>
            <w:r>
              <w:rPr>
                <w:sz w:val="19"/>
              </w:rPr>
              <w:t>Partner-ready: clear interfaces for OEMs, EPCs, DFIs and public agencies.</w:t>
            </w:r>
          </w:p>
        </w:tc>
      </w:tr>
    </w:tbl>
    <w:p w14:paraId="6AB5CBFE" w14:textId="77777777" w:rsidR="00B50B38" w:rsidRDefault="00000000">
      <w:pPr>
        <w:spacing w:before="80" w:after="0"/>
      </w:pPr>
      <w:r>
        <w:rPr>
          <w:color w:val="6E7887"/>
          <w:sz w:val="17"/>
        </w:rPr>
        <w:t>Relationship and disclaimer: InfraDev.Africa is an independent venture within the Kumea.Africa ecosystem (House of Brands). This document is for information only and does not constitute a binding offer; any engagement is subject to contract.</w:t>
      </w:r>
    </w:p>
    <w:sectPr w:rsidR="00B50B38" w:rsidSect="00034616">
      <w:pgSz w:w="11906" w:h="16838"/>
      <w:pgMar w:top="850" w:right="850" w:bottom="850" w:left="850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64424" w14:textId="77777777" w:rsidR="0097245E" w:rsidRDefault="0097245E">
      <w:pPr>
        <w:spacing w:after="0" w:line="240" w:lineRule="auto"/>
      </w:pPr>
      <w:r>
        <w:separator/>
      </w:r>
    </w:p>
  </w:endnote>
  <w:endnote w:type="continuationSeparator" w:id="0">
    <w:p w14:paraId="35B6EDDF" w14:textId="77777777" w:rsidR="0097245E" w:rsidRDefault="00972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4E88" w14:textId="77777777" w:rsidR="00B50B38" w:rsidRDefault="00000000">
    <w:pPr>
      <w:pStyle w:val="Footer"/>
      <w:jc w:val="center"/>
    </w:pPr>
    <w:proofErr w:type="spellStart"/>
    <w:r>
      <w:rPr>
        <w:color w:val="5A6478"/>
        <w:sz w:val="17"/>
      </w:rPr>
      <w:t>InfraDev.Africa</w:t>
    </w:r>
    <w:proofErr w:type="spellEnd"/>
    <w:r>
      <w:rPr>
        <w:color w:val="5A6478"/>
        <w:sz w:val="17"/>
      </w:rPr>
      <w:t xml:space="preserve"> - Strategic infrastructure planning, feasibility and delivery support</w:t>
    </w:r>
    <w:r>
      <w:rPr>
        <w:color w:val="5A6478"/>
        <w:sz w:val="17"/>
      </w:rPr>
      <w:br/>
      <w:t>www.infradev.africa | Kinshasa, DRC</w:t>
    </w:r>
    <w:r>
      <w:rPr>
        <w:color w:val="5A6478"/>
        <w:sz w:val="17"/>
      </w:rPr>
      <w:br/>
    </w:r>
    <w:r>
      <w:rPr>
        <w:color w:val="6E7887"/>
        <w:sz w:val="16"/>
      </w:rPr>
      <w:t xml:space="preserve">Independent venture within </w:t>
    </w:r>
    <w:proofErr w:type="spellStart"/>
    <w:r>
      <w:rPr>
        <w:color w:val="6E7887"/>
        <w:sz w:val="16"/>
      </w:rPr>
      <w:t>Kumea.Africa</w:t>
    </w:r>
    <w:proofErr w:type="spellEnd"/>
    <w:r>
      <w:rPr>
        <w:color w:val="6E7887"/>
        <w:sz w:val="16"/>
      </w:rPr>
      <w:t xml:space="preserve"> (House of Brands). For information only; not a binding offer.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CAD7D" w14:textId="77777777" w:rsidR="0097245E" w:rsidRDefault="0097245E">
      <w:pPr>
        <w:spacing w:after="0" w:line="240" w:lineRule="auto"/>
      </w:pPr>
      <w:r>
        <w:separator/>
      </w:r>
    </w:p>
  </w:footnote>
  <w:footnote w:type="continuationSeparator" w:id="0">
    <w:p w14:paraId="1687F548" w14:textId="77777777" w:rsidR="0097245E" w:rsidRDefault="00972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573755">
    <w:abstractNumId w:val="8"/>
  </w:num>
  <w:num w:numId="2" w16cid:durableId="920522665">
    <w:abstractNumId w:val="6"/>
  </w:num>
  <w:num w:numId="3" w16cid:durableId="802192326">
    <w:abstractNumId w:val="5"/>
  </w:num>
  <w:num w:numId="4" w16cid:durableId="53286222">
    <w:abstractNumId w:val="4"/>
  </w:num>
  <w:num w:numId="5" w16cid:durableId="1058430268">
    <w:abstractNumId w:val="7"/>
  </w:num>
  <w:num w:numId="6" w16cid:durableId="1717192846">
    <w:abstractNumId w:val="3"/>
  </w:num>
  <w:num w:numId="7" w16cid:durableId="1823234277">
    <w:abstractNumId w:val="2"/>
  </w:num>
  <w:num w:numId="8" w16cid:durableId="1406956656">
    <w:abstractNumId w:val="1"/>
  </w:num>
  <w:num w:numId="9" w16cid:durableId="107840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7188"/>
    <w:rsid w:val="0097245E"/>
    <w:rsid w:val="00AA1D8D"/>
    <w:rsid w:val="00B47730"/>
    <w:rsid w:val="00B50B38"/>
    <w:rsid w:val="00CB0664"/>
    <w:rsid w:val="00F275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5A3D6"/>
  <w14:defaultImageDpi w14:val="300"/>
  <w15:docId w15:val="{E7A34A26-A4C7-43E1-83DA-F7015DCC9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Ted Kivoto Isengingo</cp:lastModifiedBy>
  <cp:revision>2</cp:revision>
  <dcterms:created xsi:type="dcterms:W3CDTF">2026-02-11T16:00:00Z</dcterms:created>
  <dcterms:modified xsi:type="dcterms:W3CDTF">2026-02-11T16:00:00Z</dcterms:modified>
  <cp:category/>
</cp:coreProperties>
</file>