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520"/>
        <w:gridCol w:w="3402"/>
      </w:tblGrid>
      <w:tr>
        <w:tc>
          <w:tcPr>
            <w:tcW w:type="dxa" w:w="5213"/>
            <w:vAlign w:val="top"/>
          </w:tcPr>
          <w:p>
            <w:pPr>
              <w:pStyle w:val="CVTitle"/>
              <w:spacing w:after="40"/>
            </w:pPr>
            <w:r>
              <w:t>TED KIVOTO ISENGINGO</w:t>
            </w:r>
          </w:p>
          <w:p>
            <w:pPr>
              <w:pStyle w:val="CVSub"/>
              <w:spacing w:after="40"/>
            </w:pPr>
            <w:r>
              <w:t>Conseiller stratégique - Infrastructures, Énergie &amp; Projets industriels</w:t>
            </w:r>
          </w:p>
          <w:p>
            <w:pPr>
              <w:spacing w:after="0"/>
            </w:pPr>
            <w:r>
              <w:t>RDC | Afrique (FR/EN)</w:t>
            </w:r>
          </w:p>
        </w:tc>
        <w:tc>
          <w:tcPr>
            <w:tcW w:type="dxa" w:w="5213"/>
            <w:vAlign w:val="top"/>
          </w:tcPr>
          <w:p>
            <w:pPr>
              <w:spacing w:after="40"/>
              <w:jc w:val="right"/>
            </w:pPr>
            <w:r>
              <w:rPr>
                <w:b/>
              </w:rPr>
              <w:t>Coordonnées</w:t>
            </w:r>
          </w:p>
          <w:p>
            <w:pPr>
              <w:pStyle w:val="CVSmall"/>
              <w:spacing w:after="0"/>
              <w:jc w:val="right"/>
            </w:pPr>
            <w:r>
              <w:t>Email : à renseigner</w:t>
            </w:r>
          </w:p>
          <w:p>
            <w:pPr>
              <w:pStyle w:val="CVSmall"/>
              <w:spacing w:after="0"/>
              <w:jc w:val="right"/>
            </w:pPr>
            <w:r>
              <w:t>Téléphone : à renseigner</w:t>
            </w:r>
          </w:p>
          <w:p>
            <w:pPr>
              <w:pStyle w:val="CVSmall"/>
              <w:spacing w:after="0"/>
              <w:jc w:val="right"/>
            </w:pPr>
            <w:r>
              <w:t>LinkedIn : à renseigner</w:t>
            </w:r>
          </w:p>
          <w:p>
            <w:pPr>
              <w:pStyle w:val="CVSmall"/>
              <w:spacing w:after="0"/>
              <w:jc w:val="right"/>
            </w:pPr>
            <w:r>
              <w:t>Localisation : Kinshasa / Johannesburg</w:t>
            </w:r>
          </w:p>
        </w:tc>
      </w:tr>
    </w:tbl>
    <w:p>
      <w:pPr>
        <w:spacing w:before="120" w:after="120"/>
        <w:pBdr>
          <w:bottom w:val="single" w:sz="6" w:space="1" w:color="B0B7C3"/>
        </w:pBdr>
      </w:pPr>
    </w:p>
    <w:p>
      <w:pPr>
        <w:pStyle w:val="CVH"/>
      </w:pPr>
      <w:r>
        <w:t>PROFIL</w:t>
      </w:r>
    </w:p>
    <w:p>
      <w:pPr>
        <w:spacing w:after="120"/>
      </w:pPr>
      <w:r>
        <w:t>Cadre dirigeant et fondateur, avec 15+ ans d’expérience en infrastructures et énergie à travers l’Afrique (planification réseau, intégration ENR, due diligences, structuration de projets et appui à la gouvernance). Positionné entre stratégie et exécution : transformer une intention politique/industrielle en dossier bancable (périmètre, CAPEX/OPEX, risques, schéma de mise en œuvre, parties prenantes, options de financement). Bilingue français-anglais, à l’aise dans les environnements DFI, bailleurs, régulateurs et industriels.</w:t>
      </w:r>
    </w:p>
    <w:p>
      <w:pPr>
        <w:pStyle w:val="CVH"/>
      </w:pPr>
      <w:r>
        <w:t>COMPÉTENCES CLÉS</w:t>
      </w:r>
    </w:p>
    <w:p>
      <w:pPr>
        <w:pStyle w:val="ListBullet"/>
        <w:spacing w:after="0"/>
      </w:pPr>
      <w:r>
        <w:t>Structuration de projets industriels : cadrage, utilities (électricité/eau/vapeur), phasage, packaging contractuel (EPC/O&amp;M), plan d’exécution</w:t>
      </w:r>
    </w:p>
    <w:p>
      <w:pPr>
        <w:pStyle w:val="ListBullet"/>
        <w:spacing w:after="0"/>
      </w:pPr>
      <w:r>
        <w:t>Énergie &amp; réseaux : planification T&amp;D, intégration solaire/BESS, études d’intégration, codes réseau, stabilité (modélisation)</w:t>
      </w:r>
    </w:p>
    <w:p>
      <w:pPr>
        <w:pStyle w:val="ListBullet"/>
        <w:spacing w:after="0"/>
      </w:pPr>
      <w:r>
        <w:t>Financement &amp; bancabilité : due diligence (développeurs/lenders), red flag reviews, modèles PPP/affermage, documentation investisseurs</w:t>
      </w:r>
    </w:p>
    <w:p>
      <w:pPr>
        <w:pStyle w:val="ListBullet"/>
        <w:spacing w:after="0"/>
      </w:pPr>
      <w:r>
        <w:t>Gouvernance &amp; performance : mise en place d’indicateurs, pilotage multi-acteurs, coordination institutionnelle, gestion des risques</w:t>
      </w:r>
    </w:p>
    <w:p>
      <w:pPr>
        <w:pStyle w:val="ListBullet"/>
        <w:spacing w:after="0"/>
      </w:pPr>
      <w:r>
        <w:t>Déploiement en contexte africain : terrain + institutionnel, conduite du changement, communication FR/EN</w:t>
      </w:r>
    </w:p>
    <w:p>
      <w:pPr>
        <w:spacing w:after="80"/>
      </w:pPr>
    </w:p>
    <w:p>
      <w:pPr>
        <w:pStyle w:val="CVH"/>
      </w:pPr>
      <w:r>
        <w:t>EXPÉRIENCE PROFESSIONNELLE</w:t>
      </w:r>
    </w:p>
    <w:p>
      <w:pPr>
        <w:pStyle w:val="CVSub"/>
        <w:spacing w:after="0"/>
      </w:pPr>
      <w:r>
        <w:t>Managing Director — InfraDev.Africa (Kumea.Africa)</w:t>
      </w:r>
    </w:p>
    <w:p>
      <w:pPr>
        <w:pStyle w:val="CVSmall"/>
        <w:spacing w:after="40"/>
      </w:pPr>
      <w:r>
        <w:t>RDC / Afrique | 2024–présent</w:t>
      </w:r>
    </w:p>
    <w:p>
      <w:pPr>
        <w:pStyle w:val="ListBullet"/>
        <w:spacing w:after="0"/>
      </w:pPr>
      <w:r>
        <w:t>Conseil stratégique sur études de faisabilité, master planning et structuration de projets d’infrastructures (énergie, urbain, services essentiels).</w:t>
      </w:r>
    </w:p>
    <w:p>
      <w:pPr>
        <w:pStyle w:val="ListBullet"/>
        <w:spacing w:after="0"/>
      </w:pPr>
      <w:r>
        <w:t>Appui à la transformation d’idées en dossiers exécutables : périmètre, options techniques, logique économique, risques, planning, gouvernance de mise en œuvre.</w:t>
      </w:r>
    </w:p>
    <w:p>
      <w:pPr>
        <w:pStyle w:val="ListBullet"/>
        <w:spacing w:after="0"/>
      </w:pPr>
      <w:r>
        <w:t>Interface avec partenaires techniques, institutions et investisseurs ; production de notes stratégiques et supports décisionnels.</w:t>
      </w:r>
    </w:p>
    <w:p>
      <w:pPr>
        <w:spacing w:after="40"/>
      </w:pPr>
    </w:p>
    <w:p>
      <w:pPr>
        <w:pStyle w:val="CVSub"/>
        <w:spacing w:after="0"/>
      </w:pPr>
      <w:r>
        <w:t>Business Development / Strategic Advisor — International SOS</w:t>
      </w:r>
    </w:p>
    <w:p>
      <w:pPr>
        <w:pStyle w:val="CVSmall"/>
        <w:spacing w:after="40"/>
      </w:pPr>
      <w:r>
        <w:t>Afrique australe &amp; RDC | AAAA–AAAA</w:t>
      </w:r>
    </w:p>
    <w:p>
      <w:pPr>
        <w:pStyle w:val="ListBullet"/>
        <w:spacing w:after="0"/>
      </w:pPr>
      <w:r>
        <w:t>Conception et pilotage d’une proposition multi-phases pour un système de santé opéré pour des clients miniers (valeur &gt; 700 kUSD) : infrastructures, staffing, réponse d’urgence.</w:t>
      </w:r>
    </w:p>
    <w:p>
      <w:pPr>
        <w:pStyle w:val="ListBullet"/>
        <w:spacing w:after="0"/>
      </w:pPr>
      <w:r>
        <w:t>Déploiement d’un programme de renforcement de capacité (BLS/ACLS/ITLS) pour 150+ personnes ; alignement ESG et gouvernance de la performance.</w:t>
      </w:r>
    </w:p>
    <w:p>
      <w:pPr>
        <w:pStyle w:val="ListBullet"/>
        <w:spacing w:after="0"/>
      </w:pPr>
      <w:r>
        <w:t>Structuration commerciale et coordination d’équipes multidisciplinaires (opérations, médical, HSE, partenaires) dans des environnements exigeants.</w:t>
      </w:r>
    </w:p>
    <w:p>
      <w:pPr>
        <w:spacing w:after="40"/>
      </w:pPr>
    </w:p>
    <w:p>
      <w:pPr>
        <w:pStyle w:val="CVSub"/>
        <w:spacing w:after="0"/>
      </w:pPr>
      <w:r>
        <w:t>Power Networks Practice Leader (Planning &amp; Advisory) — Advisian (Worley)</w:t>
      </w:r>
    </w:p>
    <w:p>
      <w:pPr>
        <w:pStyle w:val="CVSmall"/>
        <w:spacing w:after="40"/>
      </w:pPr>
      <w:r>
        <w:t>Afrique / International | AAAA–AAAA</w:t>
      </w:r>
    </w:p>
    <w:p>
      <w:pPr>
        <w:pStyle w:val="ListBullet"/>
        <w:spacing w:after="0"/>
      </w:pPr>
      <w:r>
        <w:t>Direction d’études de planification et d’intégration réseau : transmission/distribution, raccordement ENR, renforcement et modernisation.</w:t>
      </w:r>
    </w:p>
    <w:p>
      <w:pPr>
        <w:pStyle w:val="ListBullet"/>
        <w:spacing w:after="0"/>
      </w:pPr>
      <w:r>
        <w:t>Due diligences techniques et revues de risques pour développeurs et prêteurs ; recommandations d’atténuation et plans d’action.</w:t>
      </w:r>
    </w:p>
    <w:p>
      <w:pPr>
        <w:pStyle w:val="ListBullet"/>
        <w:spacing w:after="0"/>
      </w:pPr>
      <w:r>
        <w:t>Coordination parties prenantes (utilities, régulateurs, bailleurs/DFI, EPC) et facilitation bilingue FR/EN.</w:t>
      </w:r>
    </w:p>
    <w:p>
      <w:pPr>
        <w:spacing w:after="40"/>
      </w:pPr>
    </w:p>
    <w:p>
      <w:pPr>
        <w:pStyle w:val="CVH"/>
      </w:pPr>
      <w:r>
        <w:t>PROJETS SÉLECTIONNÉS (PERTINENTS FPI / INDUSTRIE)</w:t>
      </w:r>
    </w:p>
    <w:p>
      <w:pPr>
        <w:pStyle w:val="CVSub"/>
        <w:spacing w:after="0"/>
      </w:pPr>
      <w:r>
        <w:t>Usine d’engrais de Boma (TRIOMF) — RDC</w:t>
      </w:r>
    </w:p>
    <w:p>
      <w:pPr>
        <w:pStyle w:val="CVSmall"/>
        <w:spacing w:after="20"/>
      </w:pPr>
      <w:r>
        <w:t>2025–2026 (en cours)</w:t>
      </w:r>
    </w:p>
    <w:p>
      <w:pPr>
        <w:pStyle w:val="ListBullet"/>
        <w:spacing w:after="0"/>
      </w:pPr>
      <w:r>
        <w:t>Cadrage et structuration du dossier d’investissement : définition du périmètre, options techniques, schéma utilities, phasage et gouvernance.</w:t>
      </w:r>
    </w:p>
    <w:p>
      <w:pPr>
        <w:pStyle w:val="ListBullet"/>
        <w:spacing w:after="0"/>
      </w:pPr>
      <w:r>
        <w:t>Analyse des risques/contraintes (site, énergie, eau, logistique, O&amp;M) et préparation d’éléments bancables pour échanges institutionnels.</w:t>
      </w:r>
    </w:p>
    <w:p>
      <w:pPr>
        <w:spacing w:after="40"/>
      </w:pPr>
    </w:p>
    <w:p>
      <w:pPr>
        <w:pStyle w:val="CVSub"/>
        <w:spacing w:after="0"/>
      </w:pPr>
      <w:r>
        <w:t>Stabilisation réseau &amp; cadre réglementaire — SENELEC (USAID/USEA)</w:t>
      </w:r>
    </w:p>
    <w:p>
      <w:pPr>
        <w:pStyle w:val="CVSmall"/>
        <w:spacing w:after="20"/>
      </w:pPr>
      <w:r>
        <w:t>AAAA</w:t>
      </w:r>
    </w:p>
    <w:p>
      <w:pPr>
        <w:pStyle w:val="ListBullet"/>
        <w:spacing w:after="0"/>
      </w:pPr>
      <w:r>
        <w:t>Appui à la modélisation dynamique et à la validation de modèles (CYME), collecte de données et compréhension système.</w:t>
      </w:r>
    </w:p>
    <w:p>
      <w:pPr>
        <w:pStyle w:val="ListBullet"/>
        <w:spacing w:after="0"/>
      </w:pPr>
      <w:r>
        <w:t>Contributions aux éléments de code réseau et recommandations de renforcement de capacités pour études de stabilité.</w:t>
      </w:r>
    </w:p>
    <w:p>
      <w:pPr>
        <w:spacing w:after="40"/>
      </w:pPr>
    </w:p>
    <w:p>
      <w:pPr>
        <w:pStyle w:val="CVSub"/>
        <w:spacing w:after="0"/>
      </w:pPr>
      <w:r>
        <w:t>Études d’intégration &amp; planification régionale — Afrique australe</w:t>
      </w:r>
    </w:p>
    <w:p>
      <w:pPr>
        <w:pStyle w:val="CVSmall"/>
        <w:spacing w:after="20"/>
      </w:pPr>
      <w:r>
        <w:t>AAAA</w:t>
      </w:r>
    </w:p>
    <w:p>
      <w:pPr>
        <w:pStyle w:val="ListBullet"/>
        <w:spacing w:after="0"/>
      </w:pPr>
      <w:r>
        <w:t>Études d’intégration et scénarios de renforcement (Mozambique–Namibie–Afrique du Sud) : options, risques, trajectoires d’investissement.</w:t>
      </w:r>
    </w:p>
    <w:p>
      <w:pPr>
        <w:spacing w:after="40"/>
      </w:pPr>
    </w:p>
    <w:p>
      <w:pPr>
        <w:pStyle w:val="CVSub"/>
        <w:spacing w:after="0"/>
      </w:pPr>
      <w:r>
        <w:t>Distribution &amp; performance — Abuja DISCO (Nigeria)</w:t>
      </w:r>
    </w:p>
    <w:p>
      <w:pPr>
        <w:pStyle w:val="CVSmall"/>
        <w:spacing w:after="20"/>
      </w:pPr>
      <w:r>
        <w:t>AAAA</w:t>
      </w:r>
    </w:p>
    <w:p>
      <w:pPr>
        <w:pStyle w:val="ListBullet"/>
        <w:spacing w:after="0"/>
      </w:pPr>
      <w:r>
        <w:t>Diagnostics techniques et feuille de route d’amélioration (pertes, fiabilité, investissements prioritaires).</w:t>
      </w:r>
    </w:p>
    <w:p>
      <w:pPr>
        <w:spacing w:after="40"/>
      </w:pPr>
    </w:p>
    <w:p>
      <w:pPr>
        <w:pStyle w:val="CVSub"/>
        <w:spacing w:after="0"/>
      </w:pPr>
      <w:r>
        <w:t>Planification &amp; projets HV — Angola (Luanda / 400 kV)</w:t>
      </w:r>
    </w:p>
    <w:p>
      <w:pPr>
        <w:pStyle w:val="CVSmall"/>
        <w:spacing w:after="20"/>
      </w:pPr>
      <w:r>
        <w:t>AAAA</w:t>
      </w:r>
    </w:p>
    <w:p>
      <w:pPr>
        <w:pStyle w:val="ListBullet"/>
        <w:spacing w:after="0"/>
      </w:pPr>
      <w:r>
        <w:t>Appui à la planification et au cadrage de projets haute tension ; articulation avec besoins urbains et croissance de charge.</w:t>
      </w:r>
    </w:p>
    <w:p>
      <w:pPr>
        <w:spacing w:after="40"/>
      </w:pPr>
    </w:p>
    <w:p>
      <w:pPr>
        <w:pStyle w:val="CVSub"/>
        <w:spacing w:after="0"/>
      </w:pPr>
      <w:r>
        <w:t>Systèmes de santé opérés — Watu Wetu Health System (RDC)</w:t>
      </w:r>
    </w:p>
    <w:p>
      <w:pPr>
        <w:pStyle w:val="CVSmall"/>
        <w:spacing w:after="20"/>
      </w:pPr>
      <w:r>
        <w:t>AAAA–présent</w:t>
      </w:r>
    </w:p>
    <w:p>
      <w:pPr>
        <w:pStyle w:val="ListBullet"/>
        <w:spacing w:after="0"/>
      </w:pPr>
      <w:r>
        <w:t>Programme multi-phases combinant infrastructures, services, gouvernance et reporting de performance (contexte ESG).</w:t>
      </w:r>
    </w:p>
    <w:p>
      <w:pPr>
        <w:spacing w:after="40"/>
      </w:pPr>
    </w:p>
    <w:p>
      <w:pPr>
        <w:pStyle w:val="CVH"/>
      </w:pPr>
      <w:r>
        <w:t>FORMATION &amp; LANGUES</w:t>
      </w:r>
    </w:p>
    <w:p>
      <w:pPr>
        <w:spacing w:after="40"/>
      </w:pPr>
      <w:r>
        <w:t>Formation académique : à renseigner (diplômes, universités, années)</w:t>
      </w:r>
    </w:p>
    <w:p>
      <w:pPr>
        <w:pStyle w:val="CVSmall"/>
        <w:spacing w:after="40"/>
      </w:pPr>
      <w:r>
        <w:t>Formations complémentaires : Value Selling Essentials (Schneider Electric) ; formations internes projet / sécurité (selon disponibilité).</w:t>
      </w:r>
    </w:p>
    <w:p>
      <w:pPr>
        <w:spacing w:after="40"/>
      </w:pPr>
      <w:r>
        <w:t>Langues : Français (courant), Anglais (courant), Swahili (conversationnel), Lingala (compréhension).</w:t>
      </w:r>
    </w:p>
    <w:p>
      <w:pPr>
        <w:pStyle w:val="CVSmall"/>
      </w:pPr>
      <w:r>
        <w:t>Références : disponibles sur demande.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Title"/>
    <w:basedOn w:val="Normal"/>
    <w:rPr>
      <w:rFonts w:ascii="Calibri" w:hAnsi="Calibri"/>
      <w:b/>
      <w:color w:val="1F2D3D"/>
      <w:sz w:val="36"/>
    </w:rPr>
  </w:style>
  <w:style w:type="paragraph" w:customStyle="1" w:styleId="CVH">
    <w:name w:val="CVH"/>
    <w:basedOn w:val="Normal"/>
    <w:rPr>
      <w:rFonts w:ascii="Calibri" w:hAnsi="Calibri"/>
      <w:b/>
      <w:color w:val="1F2D3D"/>
      <w:sz w:val="25"/>
    </w:rPr>
  </w:style>
  <w:style w:type="paragraph" w:customStyle="1" w:styleId="CVSub">
    <w:name w:val="CVSub"/>
    <w:basedOn w:val="Normal"/>
    <w:rPr>
      <w:rFonts w:ascii="Calibri" w:hAnsi="Calibri"/>
      <w:b/>
      <w:sz w:val="22"/>
    </w:rPr>
  </w:style>
  <w:style w:type="paragraph" w:customStyle="1" w:styleId="CVSmall">
    <w:name w:val="CVSmall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