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space="6"/>
        </w:pBdr>
        <w:spacing w:after="40" w:before="0"/>
      </w:pPr>
      <w:r>
        <w:rPr>
          <w:rFonts w:ascii="Arial" w:cs="Arial" w:eastAsia="Arial" w:hAnsi="Arial"/>
          <w:b/>
          <w:bCs/>
          <w:color w:val="1A3A6B"/>
          <w:sz w:val="20"/>
          <w:szCs w:val="20"/>
        </w:rPr>
        <w:t xml:space="preserve">UNIVERSIDAD TECNOLÓGICA NACIONAL  —  FACULTAD REGIONAL LA PLATA</w:t>
      </w:r>
    </w:p>
    <w:p>
      <w:pPr>
        <w:spacing w:after="40" w:before="0"/>
      </w:pPr>
      <w:r>
        <w:rPr>
          <w:rFonts w:ascii="Arial" w:cs="Arial" w:eastAsia="Arial" w:hAnsi="Arial"/>
          <w:color w:val="2E75B6"/>
          <w:sz w:val="18"/>
          <w:szCs w:val="18"/>
        </w:rPr>
        <w:t xml:space="preserve">Carrera: Ingeniería en Sistemas de Información  |  Coordinación de PPS</w:t>
      </w:r>
    </w:p>
    <w:p>
      <w:pPr>
        <w:pBdr>
          <w:top w:val="single" w:color="2E75B6" w:sz="10"/>
          <w:bottom w:val="single" w:color="2E75B6" w:sz="10"/>
        </w:pBdr>
        <w:shd w:fill="DEEAF1" w:val="clear"/>
        <w:spacing w:after="20" w:before="80"/>
        <w:jc w:val="center"/>
      </w:pPr>
      <w:r>
        <w:rPr>
          <w:rFonts w:ascii="Arial" w:cs="Arial" w:eastAsia="Arial" w:hAnsi="Arial"/>
          <w:b/>
          <w:bCs/>
          <w:color w:val="1A3A6B"/>
          <w:sz w:val="26"/>
          <w:szCs w:val="26"/>
        </w:rPr>
        <w:t xml:space="preserve">FORMULARIO PPS 2 — PLAN DE TRABAJO</w:t>
      </w:r>
    </w:p>
    <w:p>
      <w:pPr>
        <w:spacing w:after="80" w:before="10"/>
        <w:jc w:val="center"/>
      </w:pPr>
      <w:r>
        <w:rPr>
          <w:rFonts w:ascii="Arial" w:cs="Arial" w:eastAsia="Arial" w:hAnsi="Arial"/>
          <w:i/>
          <w:iCs/>
          <w:color w:val="2E75B6"/>
          <w:sz w:val="20"/>
          <w:szCs w:val="20"/>
        </w:rPr>
        <w:t xml:space="preserve">Práctica Profesional Supervisada  |  200 horas  |  Cohorte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Proyecto</w:t>
            </w:r>
          </w:p>
        </w:tc>
        <w:tc>
          <w:tcPr>
            <w:tcW w:type="dxa" w:w="66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IntellOps — Sistema de Observabilidad Predictiva  ·  GIDAS  ·  UTN FrLP</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Módulo / Vacante</w:t>
            </w:r>
          </w:p>
        </w:tc>
        <w:tc>
          <w:tcPr>
            <w:tcW w:type="dxa" w:w="66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Módulo de Aseguramiento de Calidad de IntellOps — Testing Automatizado, Pipeline CI/CD y Métricas de Calidad del Sistema</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Área / Grupo</w:t>
            </w:r>
          </w:p>
        </w:tc>
        <w:tc>
          <w:tcPr>
            <w:tcW w:type="dxa" w:w="66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InfraIT — Infraestructura IT, Cloud Computing y Arquitectura de Sistemas</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Coordinador</w:t>
            </w:r>
          </w:p>
        </w:tc>
        <w:tc>
          <w:tcPr>
            <w:tcW w:type="dxa" w:w="66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Emanuel Rodríguez Rodríguez</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Supervisor PPS</w:t>
            </w:r>
          </w:p>
        </w:tc>
        <w:tc>
          <w:tcPr>
            <w:tcW w:type="dxa" w:w="66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Investigador Senior / SRE — Grupo GIDAS</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Estudiante</w:t>
            </w:r>
          </w:p>
        </w:tc>
        <w:tc>
          <w:tcPr>
            <w:tcW w:type="dxa" w:w="66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Santiago Montanari  |  Legajo: por confirmar</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Modalidad</w:t>
            </w:r>
          </w:p>
        </w:tc>
        <w:tc>
          <w:tcPr>
            <w:tcW w:type="dxa" w:w="66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Práctica Profesional Supervisada (PS) — 200 horas</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Período</w:t>
            </w:r>
          </w:p>
        </w:tc>
        <w:tc>
          <w:tcPr>
            <w:tcW w:type="dxa" w:w="66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01 de Junio de 2026 – 19 de Octubre de 2026</w:t>
            </w:r>
          </w:p>
        </w:tc>
      </w:tr>
      <w:tr>
        <w:tc>
          <w:tcPr>
            <w:tcW w:type="dxa" w:w="24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Dedicación</w:t>
            </w:r>
          </w:p>
        </w:tc>
        <w:tc>
          <w:tcPr>
            <w:tcW w:type="dxa" w:w="66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10 horas semanales  ·  5 días × 2 hs/día</w:t>
            </w:r>
          </w:p>
        </w:tc>
      </w:tr>
    </w:tbl>
    <w:p>
      <w:pPr>
        <w:spacing w:after="0" w:before="120"/>
      </w:pPr>
      <w:r>
        <w:rPr>
          <w:rFonts w:ascii="Arial" w:cs="Arial" w:eastAsia="Arial" w:hAnsi="Arial"/>
          <w:color w:val="404040"/>
          <w:sz w:val="20"/>
          <w:szCs w:val="20"/>
        </w:rPr>
        <w:t xml:space="preserve"/>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1.</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TÍTULO</w:t>
      </w:r>
    </w:p>
    <w:p>
      <w:pPr>
        <w:shd w:fill="EBF4FA" w:val="clear"/>
        <w:spacing w:after="80" w:before="80"/>
        <w:jc w:val="center"/>
      </w:pPr>
      <w:r>
        <w:rPr>
          <w:rFonts w:ascii="Arial" w:cs="Arial" w:eastAsia="Arial" w:hAnsi="Arial"/>
          <w:b/>
          <w:bCs/>
          <w:color w:val="1A3A6B"/>
          <w:sz w:val="22"/>
          <w:szCs w:val="22"/>
        </w:rPr>
        <w:t xml:space="preserve">IntellOps: Desarrollo del Módulo de Aseguramiento de Calidad — Suite de Testing Automatizado, Pipeline CI/CD y Métricas de Calidad del Sistema de Observabilidad Predictiva</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2.</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TEMA</w:t>
      </w:r>
    </w:p>
    <w:p>
      <w:pPr>
        <w:spacing w:after="60" w:before="60"/>
      </w:pPr>
      <w:r>
        <w:rPr>
          <w:rFonts w:ascii="Arial" w:cs="Arial" w:eastAsia="Arial" w:hAnsi="Arial"/>
          <w:color w:val="404040"/>
          <w:sz w:val="20"/>
          <w:szCs w:val="20"/>
        </w:rPr>
        <w:t xml:space="preserve">Desarrollo e integración del módulo de aseguramiento de calidad (QA) del sistema IntellOps, la plataforma de observabilidad predictiva del laboratorio GIDAS. El módulo abarca: el diseño de la estrategia de testing del sistema, la construcción de suites de pruebas automatizadas (unitarias, integración y E2E), la configuración de una pipeline de integración y despliegue continuo (CI/CD) en GitLab con quality gates y la medición del rendimiento del sistema bajo condiciones de carga. El trabajo aporta al producto IntellOps la dimensión de calidad verificable: cada módulo del sistema puede ser validado automáticamente antes de cada despliegue, reduciendo regresiones y facilitando la evolución continua del producto.</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3.</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DELIMITACIÓN DEL TEMA</w:t>
      </w:r>
    </w:p>
    <w:p>
      <w:pPr>
        <w:spacing w:after="40" w:before="120"/>
        <w:ind w:left="240"/>
      </w:pPr>
      <w:r>
        <w:rPr>
          <w:rFonts w:ascii="Arial" w:cs="Arial" w:eastAsia="Arial" w:hAnsi="Arial"/>
          <w:b/>
          <w:bCs/>
          <w:color w:val="2E75B6"/>
          <w:sz w:val="20"/>
          <w:szCs w:val="20"/>
        </w:rPr>
        <w:t xml:space="preserve">a)</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Objetivo General</w:t>
      </w:r>
    </w:p>
    <w:p>
      <w:pPr>
        <w:spacing w:after="60" w:before="60"/>
        <w:ind w:left="360"/>
      </w:pPr>
      <w:r>
        <w:rPr>
          <w:rFonts w:ascii="Arial" w:cs="Arial" w:eastAsia="Arial" w:hAnsi="Arial"/>
          <w:color w:val="404040"/>
          <w:sz w:val="20"/>
          <w:szCs w:val="20"/>
        </w:rPr>
        <w:t xml:space="preserve">Diseñar e implementar el módulo de aseguramiento de calidad del sistema IntellOps, mediante la construcción de una suite de pruebas automatizadas (unitarias, integración y E2E), la configuración de una pipeline CI/CD en GitLab con quality gates funcionales, el establecimiento de entornos de testing reproducibles con Docker Compose y la producción de un informe de rendimiento del sistema, con documentación técnica completa y un insumo para publicación científica.</w:t>
      </w:r>
    </w:p>
    <w:p>
      <w:pPr>
        <w:spacing w:after="40" w:before="120"/>
        <w:ind w:left="240"/>
      </w:pPr>
      <w:r>
        <w:rPr>
          <w:rFonts w:ascii="Arial" w:cs="Arial" w:eastAsia="Arial" w:hAnsi="Arial"/>
          <w:b/>
          <w:bCs/>
          <w:color w:val="2E75B6"/>
          <w:sz w:val="20"/>
          <w:szCs w:val="20"/>
        </w:rPr>
        <w:t xml:space="preserve">b)</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Objetivos Específicos</w:t>
      </w:r>
    </w:p>
    <w:p>
      <w:pPr>
        <w:pStyle w:val="ListParagraph"/>
        <w:numPr>
          <w:ilvl w:val="0"/>
          <w:numId w:val="2"/>
        </w:numPr>
        <w:spacing w:after="40" w:before="40"/>
      </w:pPr>
      <w:r>
        <w:rPr>
          <w:rFonts w:ascii="Arial" w:cs="Arial" w:eastAsia="Arial" w:hAnsi="Arial"/>
          <w:color w:val="404040"/>
          <w:sz w:val="20"/>
          <w:szCs w:val="20"/>
        </w:rPr>
        <w:t xml:space="preserve">Realizar un análisis del estado actual de calidad del codebase de IntellOps mediante herramientas de análisis estático (Pylint, Flake8) y medición de cobertura inicial, identificando los módulos críticos que requieren mayor cobertura de tests según su importancia funcional y riesgo de fallo.</w:t>
      </w:r>
    </w:p>
    <w:p>
      <w:pPr>
        <w:pStyle w:val="ListParagraph"/>
        <w:numPr>
          <w:ilvl w:val="0"/>
          <w:numId w:val="2"/>
        </w:numPr>
        <w:spacing w:after="40" w:before="40"/>
      </w:pPr>
      <w:r>
        <w:rPr>
          <w:rFonts w:ascii="Arial" w:cs="Arial" w:eastAsia="Arial" w:hAnsi="Arial"/>
          <w:color w:val="404040"/>
          <w:sz w:val="20"/>
          <w:szCs w:val="20"/>
        </w:rPr>
        <w:t xml:space="preserve">Diseñar la estrategia de testing del sistema IntellOps y documentar las decisiones técnicas mediante ADRs: tipos de prueba por componente, herramientas seleccionadas, cobertura objetivo, estrategia de datos de prueba y criterios de aceptación de calidad (quality gates).</w:t>
      </w:r>
    </w:p>
    <w:p>
      <w:pPr>
        <w:pStyle w:val="ListParagraph"/>
        <w:numPr>
          <w:ilvl w:val="0"/>
          <w:numId w:val="2"/>
        </w:numPr>
        <w:spacing w:after="40" w:before="40"/>
      </w:pPr>
      <w:r>
        <w:rPr>
          <w:rFonts w:ascii="Arial" w:cs="Arial" w:eastAsia="Arial" w:hAnsi="Arial"/>
          <w:color w:val="404040"/>
          <w:sz w:val="20"/>
          <w:szCs w:val="20"/>
        </w:rPr>
        <w:t xml:space="preserve">Configurar la pipeline CI/CD en GitLab: etapas de lint, unit-test, integration-test, build y deploy-staging, con entornos de testing reproducibles en Docker Compose y reporte automático de cobertura de código integrado en cada commit al repositorio del proyecto IntellOps.</w:t>
      </w:r>
    </w:p>
    <w:p>
      <w:pPr>
        <w:pStyle w:val="ListParagraph"/>
        <w:numPr>
          <w:ilvl w:val="0"/>
          <w:numId w:val="2"/>
        </w:numPr>
        <w:spacing w:after="40" w:before="40"/>
      </w:pPr>
      <w:r>
        <w:rPr>
          <w:rFonts w:ascii="Arial" w:cs="Arial" w:eastAsia="Arial" w:hAnsi="Arial"/>
          <w:color w:val="404040"/>
          <w:sz w:val="20"/>
          <w:szCs w:val="20"/>
        </w:rPr>
        <w:t xml:space="preserve">Implementar suites de pruebas unitarias para los módulos críticos del backend de IntellOps con cobertura ≥70%, y pruebas de integración de la API REST con validación de contratos, casos de borde y manejo de errores.</w:t>
      </w:r>
    </w:p>
    <w:p>
      <w:pPr>
        <w:pStyle w:val="ListParagraph"/>
        <w:numPr>
          <w:ilvl w:val="0"/>
          <w:numId w:val="2"/>
        </w:numPr>
        <w:spacing w:after="40" w:before="40"/>
      </w:pPr>
      <w:r>
        <w:rPr>
          <w:rFonts w:ascii="Arial" w:cs="Arial" w:eastAsia="Arial" w:hAnsi="Arial"/>
          <w:color w:val="404040"/>
          <w:sz w:val="20"/>
          <w:szCs w:val="20"/>
        </w:rPr>
        <w:t xml:space="preserve">Desarrollar pruebas E2E del flujo completo del sistema IntellOps y pruebas de rendimiento/carga que validen los SLAs del sistema bajo condiciones de uso esperadas, produciendo un informe de rendimiento como baseline del producto.</w:t>
      </w:r>
    </w:p>
    <w:p>
      <w:pPr>
        <w:spacing w:after="40" w:before="120"/>
        <w:ind w:left="240"/>
      </w:pPr>
      <w:r>
        <w:rPr>
          <w:rFonts w:ascii="Arial" w:cs="Arial" w:eastAsia="Arial" w:hAnsi="Arial"/>
          <w:b/>
          <w:bCs/>
          <w:color w:val="2E75B6"/>
          <w:sz w:val="20"/>
          <w:szCs w:val="20"/>
        </w:rPr>
        <w:t xml:space="preserve">c)</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Ámbito que Abarca</w:t>
      </w:r>
    </w:p>
    <w:p>
      <w:pPr>
        <w:spacing w:after="60" w:before="60"/>
        <w:ind w:left="360"/>
      </w:pPr>
      <w:r>
        <w:rPr>
          <w:rFonts w:ascii="Arial" w:cs="Arial" w:eastAsia="Arial" w:hAnsi="Arial"/>
          <w:color w:val="404040"/>
          <w:sz w:val="20"/>
          <w:szCs w:val="20"/>
        </w:rPr>
        <w:t xml:space="preserve">El trabajo se desarrolla dentro del proyecto IntellOps del equipo InfraIT — Grupo GIDAS UTN FrLP, contribuyendo directamente al repositorio compartido del sistema. La pipeline CI/CD y la suite de tests son componentes transversales del producto IntellOps: actúan sobre todos los módulos del sistema y garantizan la calidad del producto completo en cada ciclo de desarrollo.</w:t>
      </w:r>
    </w:p>
    <w:p>
      <w:pPr>
        <w:spacing w:after="40" w:before="120"/>
        <w:ind w:left="240"/>
      </w:pPr>
      <w:r>
        <w:rPr>
          <w:rFonts w:ascii="Arial" w:cs="Arial" w:eastAsia="Arial" w:hAnsi="Arial"/>
          <w:b/>
          <w:bCs/>
          <w:color w:val="2E75B6"/>
          <w:sz w:val="20"/>
          <w:szCs w:val="20"/>
        </w:rPr>
        <w:t xml:space="preserve">d)</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Población</w:t>
      </w:r>
    </w:p>
    <w:p>
      <w:pPr>
        <w:spacing w:after="60" w:before="60"/>
        <w:ind w:left="360"/>
      </w:pPr>
      <w:r>
        <w:rPr>
          <w:rFonts w:ascii="Arial" w:cs="Arial" w:eastAsia="Arial" w:hAnsi="Arial"/>
          <w:color w:val="404040"/>
          <w:sz w:val="20"/>
          <w:szCs w:val="20"/>
        </w:rPr>
        <w:t xml:space="preserve">Usuarios directos del módulo de QA: desarrolladores del proyecto IntellOps (equipo InfraIT GIDAS). Beneficiarios del sistema IntellOps completo: investigadores y becarios del Grupo GIDAS. El módulo tiene impacto sobre todos los usuarios del sistema al garantizar la estabilidad de las versiones desplegadas.</w:t>
      </w:r>
    </w:p>
    <w:p>
      <w:pPr>
        <w:spacing w:after="40" w:before="120"/>
        <w:ind w:left="240"/>
      </w:pPr>
      <w:r>
        <w:rPr>
          <w:rFonts w:ascii="Arial" w:cs="Arial" w:eastAsia="Arial" w:hAnsi="Arial"/>
          <w:b/>
          <w:bCs/>
          <w:color w:val="2E75B6"/>
          <w:sz w:val="20"/>
          <w:szCs w:val="20"/>
        </w:rPr>
        <w:t xml:space="preserve">e)</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Ubicación en el Tiempo y en el Espacio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Lugar</w:t>
            </w:r>
          </w:p>
        </w:tc>
        <w:tc>
          <w:tcPr>
            <w:tcW w:type="dxa" w:w="64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Laboratorio GIDAS — UTN Facultad Regional La Plata, La Plata, Buenos Aires</w:t>
            </w:r>
          </w:p>
        </w:tc>
      </w:tr>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Modalidad</w:t>
            </w:r>
          </w:p>
        </w:tc>
        <w:tc>
          <w:tcPr>
            <w:tcW w:type="dxa" w:w="64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Presencial y/o remota (híbrida según coordinación con el supervisor)</w:t>
            </w:r>
          </w:p>
        </w:tc>
      </w:tr>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Fecha de inicio</w:t>
            </w:r>
          </w:p>
        </w:tc>
        <w:tc>
          <w:tcPr>
            <w:tcW w:type="dxa" w:w="64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01 de Junio de 2026 (sujeta a aprobación del Plan de Trabajo)</w:t>
            </w:r>
          </w:p>
        </w:tc>
      </w:tr>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Fecha de fin</w:t>
            </w:r>
          </w:p>
        </w:tc>
        <w:tc>
          <w:tcPr>
            <w:tcW w:type="dxa" w:w="64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19 de Octubre de 2026 (presentación del Informe Final)</w:t>
            </w:r>
          </w:p>
        </w:tc>
      </w:tr>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Horas totales</w:t>
            </w:r>
          </w:p>
        </w:tc>
        <w:tc>
          <w:tcPr>
            <w:tcW w:type="dxa" w:w="64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200 hs  ·  Cálculo: 20 semanas × 10 hs/semana = 200 hs</w:t>
            </w:r>
          </w:p>
        </w:tc>
      </w:tr>
    </w:tbl>
    <w:p>
      <w:pPr>
        <w:spacing w:after="40" w:before="120"/>
        <w:ind w:left="240"/>
      </w:pPr>
      <w:r>
        <w:rPr>
          <w:rFonts w:ascii="Arial" w:cs="Arial" w:eastAsia="Arial" w:hAnsi="Arial"/>
          <w:b/>
          <w:bCs/>
          <w:color w:val="2E75B6"/>
          <w:sz w:val="20"/>
          <w:szCs w:val="20"/>
        </w:rPr>
        <w:t xml:space="preserve">f)</w:t>
      </w:r>
      <w:r>
        <w:rPr>
          <w:rFonts w:ascii="Arial" w:cs="Arial" w:eastAsia="Arial" w:hAnsi="Arial"/>
          <w:color w:val="404040"/>
          <w:sz w:val="20"/>
          <w:szCs w:val="20"/>
        </w:rPr>
        <w:t xml:space="preserve">  </w:t>
      </w:r>
      <w:r>
        <w:rPr>
          <w:rFonts w:ascii="Arial" w:cs="Arial" w:eastAsia="Arial" w:hAnsi="Arial"/>
          <w:b/>
          <w:bCs/>
          <w:color w:val="1A3A6B"/>
          <w:sz w:val="20"/>
          <w:szCs w:val="20"/>
        </w:rPr>
        <w:t xml:space="preserve">Áreas de Conocimiento que Involucra</w:t>
      </w:r>
    </w:p>
    <w:p>
      <w:pPr>
        <w:pStyle w:val="ListParagraph"/>
        <w:numPr>
          <w:ilvl w:val="0"/>
          <w:numId w:val="2"/>
        </w:numPr>
        <w:spacing w:after="40" w:before="40"/>
      </w:pPr>
      <w:r>
        <w:rPr>
          <w:rFonts w:ascii="Arial" w:cs="Arial" w:eastAsia="Arial" w:hAnsi="Arial"/>
          <w:color w:val="404040"/>
          <w:sz w:val="20"/>
          <w:szCs w:val="20"/>
        </w:rPr>
        <w:t xml:space="preserve">Ingeniería de Software — testing, calidad del software, ISO/IEC 25010, ADRs</w:t>
      </w:r>
    </w:p>
    <w:p>
      <w:pPr>
        <w:pStyle w:val="ListParagraph"/>
        <w:numPr>
          <w:ilvl w:val="0"/>
          <w:numId w:val="2"/>
        </w:numPr>
        <w:spacing w:after="40" w:before="40"/>
      </w:pPr>
      <w:r>
        <w:rPr>
          <w:rFonts w:ascii="Arial" w:cs="Arial" w:eastAsia="Arial" w:hAnsi="Arial"/>
          <w:color w:val="404040"/>
          <w:sz w:val="20"/>
          <w:szCs w:val="20"/>
        </w:rPr>
        <w:t xml:space="preserve">Metodología y Procesos — QA, IEEE 829, metodologías ágiles, gestión de calidad</w:t>
      </w:r>
    </w:p>
    <w:p>
      <w:pPr>
        <w:pStyle w:val="ListParagraph"/>
        <w:numPr>
          <w:ilvl w:val="0"/>
          <w:numId w:val="2"/>
        </w:numPr>
        <w:spacing w:after="40" w:before="40"/>
      </w:pPr>
      <w:r>
        <w:rPr>
          <w:rFonts w:ascii="Arial" w:cs="Arial" w:eastAsia="Arial" w:hAnsi="Arial"/>
          <w:color w:val="404040"/>
          <w:sz w:val="20"/>
          <w:szCs w:val="20"/>
        </w:rPr>
        <w:t xml:space="preserve">DevOps y CI/CD — GitLab CI, pipelines de integración y despliegue continuo</w:t>
      </w:r>
    </w:p>
    <w:p>
      <w:pPr>
        <w:pStyle w:val="ListParagraph"/>
        <w:numPr>
          <w:ilvl w:val="0"/>
          <w:numId w:val="2"/>
        </w:numPr>
        <w:spacing w:after="40" w:before="40"/>
      </w:pPr>
      <w:r>
        <w:rPr>
          <w:rFonts w:ascii="Arial" w:cs="Arial" w:eastAsia="Arial" w:hAnsi="Arial"/>
          <w:color w:val="404040"/>
          <w:sz w:val="20"/>
          <w:szCs w:val="20"/>
        </w:rPr>
        <w:t xml:space="preserve">Testing y Validación — pruebas unitarias, integración, E2E y rendimiento/carga</w:t>
      </w:r>
    </w:p>
    <w:p>
      <w:pPr>
        <w:pStyle w:val="ListParagraph"/>
        <w:numPr>
          <w:ilvl w:val="0"/>
          <w:numId w:val="2"/>
        </w:numPr>
        <w:spacing w:after="40" w:before="40"/>
      </w:pPr>
      <w:r>
        <w:rPr>
          <w:rFonts w:ascii="Arial" w:cs="Arial" w:eastAsia="Arial" w:hAnsi="Arial"/>
          <w:color w:val="404040"/>
          <w:sz w:val="20"/>
          <w:szCs w:val="20"/>
        </w:rPr>
        <w:t xml:space="preserve">Contenedores — Docker Compose para entornos de testing reproducibles</w:t>
      </w:r>
    </w:p>
    <w:p>
      <w:pPr>
        <w:pStyle w:val="ListParagraph"/>
        <w:numPr>
          <w:ilvl w:val="0"/>
          <w:numId w:val="2"/>
        </w:numPr>
        <w:spacing w:after="40" w:before="40"/>
      </w:pPr>
      <w:r>
        <w:rPr>
          <w:rFonts w:ascii="Arial" w:cs="Arial" w:eastAsia="Arial" w:hAnsi="Arial"/>
          <w:color w:val="404040"/>
          <w:sz w:val="20"/>
          <w:szCs w:val="20"/>
        </w:rPr>
        <w:t xml:space="preserve">Metodología de la Investigación — análisis de caso, benchmark, escritura científica</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4.</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FUNDAMENTACIÓN</w:t>
      </w:r>
    </w:p>
    <w:p>
      <w:pPr>
        <w:spacing w:after="60" w:before="60"/>
      </w:pPr>
      <w:r>
        <w:rPr>
          <w:rFonts w:ascii="Arial" w:cs="Arial" w:eastAsia="Arial" w:hAnsi="Arial"/>
          <w:color w:val="404040"/>
          <w:sz w:val="20"/>
          <w:szCs w:val="20"/>
        </w:rPr>
        <w:t xml:space="preserve">IntellOps es un sistema de observabilidad predictiva en desarrollo activo, con múltiples módulos siendo construidos simultáneamente por distintos contribuyentes. Esta dinámica de desarrollo distribuido incrementa significativamente el riesgo de regresiones: cambios en un módulo pueden romper el funcionamiento de otro sin que nadie lo detecte hasta que el sistema falla en producción. Un módulo de QA con testing automatizado y CI/CD es el mecanismo que hace sostenible el desarrollo iterativo del producto.</w:t>
      </w:r>
    </w:p>
    <w:p>
      <w:pPr>
        <w:spacing w:after="60" w:before="60"/>
      </w:pPr>
      <w:r>
        <w:rPr>
          <w:rFonts w:ascii="Arial" w:cs="Arial" w:eastAsia="Arial" w:hAnsi="Arial"/>
          <w:color w:val="404040"/>
          <w:sz w:val="20"/>
          <w:szCs w:val="20"/>
        </w:rPr>
        <w:t xml:space="preserve">Las prácticas de DevOps y testing automatizado son estándar en la industria del software pero permanecen ausentes en la mayoría de los proyectos de software académico, generando software frágil con deuda técnica creciente. Incorporar estas prácticas en IntellOps no solo mejora la calidad del producto, sino que forma a los contribuyentes en las metodologías más valoradas en el mercado, y produce un caso de estudio publicable sobre la adopción de DevOps en proyectos de software de investigación universitaria.</w:t>
      </w:r>
    </w:p>
    <w:p>
      <w:pPr>
        <w:spacing w:after="60" w:before="60"/>
      </w:pPr>
      <w:r>
        <w:rPr>
          <w:rFonts w:ascii="Arial" w:cs="Arial" w:eastAsia="Arial" w:hAnsi="Arial"/>
          <w:color w:val="404040"/>
          <w:sz w:val="20"/>
          <w:szCs w:val="20"/>
        </w:rPr>
        <w:t xml:space="preserve">El módulo de QA es transversal al producto: cada módulo de IntellOps — el motor de observabilidad, el módulo de seguridad y el módulo de despliegue — se beneficia de la cobertura de tests y de la pipeline CI/CD. Esto lo convierte en una contribución de alto impacto multiplicador para el producto final.</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5.</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METODOLOGÍA</w:t>
      </w:r>
    </w:p>
    <w:p>
      <w:pPr>
        <w:spacing w:after="60" w:before="60"/>
      </w:pPr>
      <w:r>
        <w:rPr>
          <w:rFonts w:ascii="Arial" w:cs="Arial" w:eastAsia="Arial" w:hAnsi="Arial"/>
          <w:color w:val="404040"/>
          <w:sz w:val="20"/>
          <w:szCs w:val="20"/>
        </w:rPr>
        <w:t xml:space="preserve">Metodología de mejora de proceso con implementación incremental, integrada al ciclo de desarrollo activo del proyecto IntellOps:</w:t>
      </w:r>
    </w:p>
    <w:p>
      <w:pPr>
        <w:pStyle w:val="ListParagraph"/>
        <w:numPr>
          <w:ilvl w:val="0"/>
          <w:numId w:val="2"/>
        </w:numPr>
        <w:spacing w:after="40" w:before="40"/>
      </w:pPr>
      <w:r>
        <w:rPr>
          <w:rFonts w:ascii="Arial" w:cs="Arial" w:eastAsia="Arial" w:hAnsi="Arial"/>
          <w:color w:val="404040"/>
          <w:sz w:val="20"/>
          <w:szCs w:val="20"/>
        </w:rPr>
        <w:t xml:space="preserve">Relevamiento de calidad actual: análisis estático del codebase y medición de cobertura baseline antes de la intervención como punto de referencia cuantitativa.</w:t>
      </w:r>
    </w:p>
    <w:p>
      <w:pPr>
        <w:pStyle w:val="ListParagraph"/>
        <w:numPr>
          <w:ilvl w:val="0"/>
          <w:numId w:val="2"/>
        </w:numPr>
        <w:spacing w:after="40" w:before="40"/>
      </w:pPr>
      <w:r>
        <w:rPr>
          <w:rFonts w:ascii="Arial" w:cs="Arial" w:eastAsia="Arial" w:hAnsi="Arial"/>
          <w:color w:val="404040"/>
          <w:sz w:val="20"/>
          <w:szCs w:val="20"/>
        </w:rPr>
        <w:t xml:space="preserve">Diseño guiado por riesgo: priorización de los tests según la criticidad funcional del componente y el riesgo de fallo en el contexto del sistema IntellOps.</w:t>
      </w:r>
    </w:p>
    <w:p>
      <w:pPr>
        <w:pStyle w:val="ListParagraph"/>
        <w:numPr>
          <w:ilvl w:val="0"/>
          <w:numId w:val="2"/>
        </w:numPr>
        <w:spacing w:after="40" w:before="40"/>
      </w:pPr>
      <w:r>
        <w:rPr>
          <w:rFonts w:ascii="Arial" w:cs="Arial" w:eastAsia="Arial" w:hAnsi="Arial"/>
          <w:color w:val="404040"/>
          <w:sz w:val="20"/>
          <w:szCs w:val="20"/>
        </w:rPr>
        <w:t xml:space="preserve">Pipeline CI/CD integrada al flujo real: la pipeline no es un artefacto aislado sino parte del repositorio del proyecto; cada commit activa lint + test automáticamente desde el primer día de configuración.</w:t>
      </w:r>
    </w:p>
    <w:p>
      <w:pPr>
        <w:pStyle w:val="ListParagraph"/>
        <w:numPr>
          <w:ilvl w:val="0"/>
          <w:numId w:val="2"/>
        </w:numPr>
        <w:spacing w:after="40" w:before="40"/>
      </w:pPr>
      <w:r>
        <w:rPr>
          <w:rFonts w:ascii="Arial" w:cs="Arial" w:eastAsia="Arial" w:hAnsi="Arial"/>
          <w:color w:val="404040"/>
          <w:sz w:val="20"/>
          <w:szCs w:val="20"/>
        </w:rPr>
        <w:t xml:space="preserve">Activación progresiva de quality gates: modo aviso primero (el desarrollador ve el resultado pero puede hacer merge), bloqueante después (aprobación del equipo requerida), para facilitar la adopción sin fricción.</w:t>
      </w:r>
    </w:p>
    <w:p>
      <w:pPr>
        <w:pStyle w:val="ListParagraph"/>
        <w:numPr>
          <w:ilvl w:val="0"/>
          <w:numId w:val="2"/>
        </w:numPr>
        <w:spacing w:after="40" w:before="40"/>
      </w:pPr>
      <w:r>
        <w:rPr>
          <w:rFonts w:ascii="Arial" w:cs="Arial" w:eastAsia="Arial" w:hAnsi="Arial"/>
          <w:color w:val="404040"/>
          <w:sz w:val="20"/>
          <w:szCs w:val="20"/>
        </w:rPr>
        <w:t xml:space="preserve">Evaluación empírica: comparación de cobertura antes/después y conteo de regresiones detectadas como evidencia del impacto del módulo de QA.</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6.</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TIPO DE TEMA EN EL QUE SE ENMARCA EL TRABAJO</w:t>
      </w:r>
    </w:p>
    <w:p>
      <w:pPr>
        <w:spacing w:after="60" w:before="60"/>
      </w:pPr>
      <w:r>
        <w:rPr>
          <w:rFonts w:ascii="Arial" w:cs="Arial" w:eastAsia="Arial" w:hAnsi="Arial"/>
          <w:color w:val="404040"/>
          <w:sz w:val="20"/>
          <w:szCs w:val="20"/>
        </w:rPr>
        <w:t xml:space="preserve">Científico-práctico orientado a Ingeniería de Software y metodologías de aseguramiento de calidad. Combina análisis de proceso (relevamiento de calidad actual), ingeniería de sistemas (diseño e implementación de la pipeline CI/CD y suites de tests) e investigación aplicada (medición del impacto en un proyecto de software académico real).</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7.</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APORTES QUE SE ESPERA REALIZAR CON ESTE TRABAJO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Al estudiante</w:t>
            </w:r>
          </w:p>
        </w:tc>
        <w:tc>
          <w:tcPr>
            <w:tcW w:type="dxa" w:w="70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Experiencia práctica en testing automatizado (unitario, integración, E2E) y DevOps (GitLab CI/CD) sobre un sistema de software real en producción. Contribución verificable al repositorio del proyecto IntellOps. Competencias demandadas en roles de QA Engineer y DevOps Engineer. Potencial co-autoría en paper científico.</w:t>
            </w:r>
          </w:p>
        </w:tc>
      </w:tr>
      <w:tr>
        <w:tc>
          <w:tcPr>
            <w:tcW w:type="dxa" w:w="20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Al Grupo GIDAS / InfraIT</w:t>
            </w:r>
          </w:p>
        </w:tc>
        <w:tc>
          <w:tcPr>
            <w:tcW w:type="dxa" w:w="70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Suite de tests automatizados que detecta regresiones ante cada commit en todo el proyecto IntellOps. Pipeline CI/CD con quality gates que garantiza la calidad antes de cada despliegue. Informe de rendimiento del sistema como baseline para versiones futuras. Proceso de QA institucional documentado y reutilizable para otros proyectos del GIDAS.</w:t>
            </w:r>
          </w:p>
        </w:tc>
      </w:tr>
      <w:tr>
        <w:tc>
          <w:tcPr>
            <w:tcW w:type="dxa" w:w="20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 la comunidad académica</w:t>
            </w:r>
          </w:p>
        </w:tc>
        <w:tc>
          <w:tcPr>
            <w:tcW w:type="dxa" w:w="70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Caso de estudio publicable sobre adopción de DevOps y testing automatizado en proyectos de software de investigación universitaria. Insumo para paper en CACIC 2026 o JAIIO — Ingeniería de Software. Pipeline CI/CD y suites de tests como referencia open source para equipos similares.</w:t>
            </w:r>
          </w:p>
        </w:tc>
      </w:tr>
    </w:tbl>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8.</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FECHA DE INICIO</w:t>
      </w:r>
    </w:p>
    <w:p>
      <w:pPr>
        <w:spacing w:after="60" w:before="60"/>
      </w:pPr>
      <w:r>
        <w:rPr>
          <w:rFonts w:ascii="Arial" w:cs="Arial" w:eastAsia="Arial" w:hAnsi="Arial"/>
          <w:color w:val="404040"/>
          <w:sz w:val="20"/>
          <w:szCs w:val="20"/>
        </w:rPr>
        <w:t xml:space="preserve">01 de Junio de 2026, a partir de la aprobación del Plan de Trabajo por parte de la Coordinación de PPS — Carrera ISI UTN FrLP.</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9.</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FECHA PROBABLE DE PRESENTACIÓN DEL INFORME FINAL</w:t>
      </w:r>
    </w:p>
    <w:p>
      <w:pPr>
        <w:spacing w:after="60" w:before="60"/>
      </w:pPr>
      <w:r>
        <w:rPr>
          <w:rFonts w:ascii="Arial" w:cs="Arial" w:eastAsia="Arial" w:hAnsi="Arial"/>
          <w:color w:val="404040"/>
          <w:sz w:val="20"/>
          <w:szCs w:val="20"/>
        </w:rPr>
        <w:t xml:space="preserve">19 de Octubre de 2026. Cálculo: 20 semanas laborales × 10 horas/semana = 200 horas.</w:t>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9.a.</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INFORMES PARCIALES REQUERIDOS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Informe Parcial N° 1</w:t>
            </w:r>
          </w:p>
        </w:tc>
        <w:tc>
          <w:tcPr>
            <w:tcW w:type="dxa" w:w="64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06 de Julio de 2026 (Semana 5, ~50 hs). Baseline de calidad del codebase documentado (cobertura inicial, métricas de análisis estático). Estrategia de testing diseñada con ADRs aprobados. Pipeline CI/CD configurada y ejecutando lint + primeros tests unitarios en cada commit.</w:t>
            </w:r>
          </w:p>
        </w:tc>
      </w:tr>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Informe Parcial N° 2</w:t>
            </w:r>
          </w:p>
        </w:tc>
        <w:tc>
          <w:tcPr>
            <w:tcW w:type="dxa" w:w="64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17 de Agosto de 2026 (Semana 11, ~120 hs). Suite de pruebas unitarias con cobertura ≥70% en módulos críticos del backend. Pruebas de integración de la API REST operativas en la pipeline. Reporte automático de cobertura activado en cada commit al repositorio del proyecto IntellOps.</w:t>
            </w:r>
          </w:p>
        </w:tc>
      </w:tr>
      <w:tr>
        <w:tc>
          <w:tcPr>
            <w:tcW w:type="dxa" w:w="26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Informe Final</w:t>
            </w:r>
          </w:p>
        </w:tc>
        <w:tc>
          <w:tcPr>
            <w:tcW w:type="dxa" w:w="64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19 de Octubre de 2026. Informe completo según formato Coordinación PPS — ISI UTN FrLP.</w:t>
            </w:r>
          </w:p>
        </w:tc>
      </w:tr>
    </w:tbl>
    <w:p>
      <w:pPr>
        <w:spacing w:after="0" w:before="0"/>
      </w:pPr>
      <w:r>
        <w:br w:type="page"/>
      </w:r>
    </w:p>
    <w:p>
      <w:pPr>
        <w:pBdr>
          <w:left w:val="single" w:color="2E75B6" w:sz="20" w:space="6"/>
          <w:bottom w:val="single" w:color="2E75B6" w:sz="8" w:space="3"/>
        </w:pBdr>
        <w:shd w:fill="DEEAF1" w:val="clear"/>
        <w:spacing w:after="60" w:before="180"/>
        <w:ind w:left="120"/>
      </w:pPr>
      <w:r>
        <w:rPr>
          <w:rFonts w:ascii="Arial" w:cs="Arial" w:eastAsia="Arial" w:hAnsi="Arial"/>
          <w:b/>
          <w:bCs/>
          <w:color w:val="2E75B6"/>
          <w:sz w:val="22"/>
          <w:szCs w:val="22"/>
        </w:rPr>
        <w:t xml:space="preserve">10.</w:t>
      </w:r>
      <w:r>
        <w:rPr>
          <w:rFonts w:ascii="Arial" w:cs="Arial" w:eastAsia="Arial" w:hAnsi="Arial"/>
          <w:color w:val="404040"/>
          <w:sz w:val="22"/>
          <w:szCs w:val="22"/>
        </w:rPr>
        <w:t xml:space="preserve">  </w:t>
      </w:r>
      <w:r>
        <w:rPr>
          <w:rFonts w:ascii="Arial" w:cs="Arial" w:eastAsia="Arial" w:hAnsi="Arial"/>
          <w:b/>
          <w:bCs/>
          <w:color w:val="1A3A6B"/>
          <w:sz w:val="22"/>
          <w:szCs w:val="22"/>
        </w:rPr>
        <w:t xml:space="preserve">CRONOGRAMA DE ACTIVIDADES — DIAGRAMA DE GANTT</w:t>
      </w:r>
    </w:p>
    <w:p>
      <w:pPr>
        <w:pBdr>
          <w:left w:val="single" w:color="375623" w:sz="16" w:space="6"/>
        </w:pBdr>
        <w:shd w:fill="E2EFDA" w:val="clear"/>
        <w:spacing w:after="60" w:before="60"/>
        <w:ind w:left="120"/>
      </w:pPr>
      <w:r>
        <w:rPr>
          <w:rFonts w:ascii="Arial" w:cs="Arial" w:eastAsia="Arial" w:hAnsi="Arial"/>
          <w:b/>
          <w:bCs/>
          <w:color w:val="375623"/>
          <w:sz w:val="19"/>
          <w:szCs w:val="19"/>
        </w:rPr>
        <w:t xml:space="preserve">Cálculo: </w:t>
      </w:r>
      <w:r>
        <w:rPr>
          <w:rFonts w:ascii="Arial" w:cs="Arial" w:eastAsia="Arial" w:hAnsi="Arial"/>
          <w:color w:val="404040"/>
          <w:sz w:val="19"/>
          <w:szCs w:val="19"/>
        </w:rPr>
        <w:t xml:space="preserve">Inicio: 01 de Junio de 2026  |  Fin: 19 de Octubre de 2026  |  10 hs/semana  |  </w:t>
      </w:r>
      <w:r>
        <w:rPr>
          <w:rFonts w:ascii="Arial" w:cs="Arial" w:eastAsia="Arial" w:hAnsi="Arial"/>
          <w:b/>
          <w:bCs/>
          <w:color w:val="375623"/>
          <w:sz w:val="19"/>
          <w:szCs w:val="19"/>
        </w:rPr>
        <w:t xml:space="preserve">20 semanas × 10 hs = 200 hs</w:t>
      </w:r>
    </w:p>
    <w:p>
      <w:pPr>
        <w:spacing w:after="0" w:before="40"/>
      </w:pPr>
      <w:r>
        <w:rPr>
          <w:rFonts w:ascii="Arial" w:cs="Arial" w:eastAsia="Arial" w:hAnsi="Arial"/>
          <w:color w:val="404040"/>
          <w:sz w:val="20"/>
          <w:szCs w:val="20"/>
        </w:rPr>
        <w:t xml:space="preserve"/>
      </w:r>
    </w:p>
    <w:p>
      <w:pPr>
        <w:spacing w:after="40" w:before="0"/>
      </w:pPr>
      <w:r>
        <w:rPr>
          <w:rFonts w:ascii="Arial" w:cs="Arial" w:eastAsia="Arial" w:hAnsi="Arial"/>
          <w:b/>
          <w:bCs/>
          <w:color w:val="1A3A6B"/>
          <w:sz w:val="18"/>
          <w:szCs w:val="18"/>
        </w:rPr>
        <w:t xml:space="preserve">Actividades: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A1 — Análisis de calidad actual del codebase + benchmark herramientas QA</w:t>
            </w:r>
          </w:p>
        </w:tc>
        <w:tc>
          <w:tcPr>
            <w:tcW w:type="dxa" w:w="58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Semanas 1–4  |  30 hs</w:t>
            </w:r>
          </w:p>
        </w:tc>
      </w:tr>
      <w:tr>
        <w:tc>
          <w:tcPr>
            <w:tcW w:type="dxa" w:w="3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A2 — Diseño de estrategia de testing de IntellOps + ADRs</w:t>
            </w:r>
          </w:p>
        </w:tc>
        <w:tc>
          <w:tcPr>
            <w:tcW w:type="dxa" w:w="58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Semanas 3–6  |  25 hs</w:t>
            </w:r>
          </w:p>
        </w:tc>
      </w:tr>
      <w:tr>
        <w:tc>
          <w:tcPr>
            <w:tcW w:type="dxa" w:w="3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A3 — Pipeline CI/CD GitLab + entornos Docker Compose de testing</w:t>
            </w:r>
          </w:p>
        </w:tc>
        <w:tc>
          <w:tcPr>
            <w:tcW w:type="dxa" w:w="58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Semanas 5–9  |  35 hs</w:t>
            </w:r>
          </w:p>
        </w:tc>
      </w:tr>
      <w:tr>
        <w:tc>
          <w:tcPr>
            <w:tcW w:type="dxa" w:w="3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A4 — Suite de pruebas unitarias e integración de API REST</w:t>
            </w:r>
          </w:p>
        </w:tc>
        <w:tc>
          <w:tcPr>
            <w:tcW w:type="dxa" w:w="58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Semanas 8–14  |  55 hs</w:t>
            </w:r>
          </w:p>
        </w:tc>
      </w:tr>
      <w:tr>
        <w:tc>
          <w:tcPr>
            <w:tcW w:type="dxa" w:w="3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A5 — Testing E2E del flujo completo + pruebas de rendimiento/carga</w:t>
            </w:r>
          </w:p>
        </w:tc>
        <w:tc>
          <w:tcPr>
            <w:tcW w:type="dxa" w:w="58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Semanas 12–18  |  40 hs</w:t>
            </w:r>
          </w:p>
        </w:tc>
      </w:tr>
      <w:tr>
        <w:tc>
          <w:tcPr>
            <w:tcW w:type="dxa" w:w="3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A6 — Calibración quality gates + validación con el equipo IntellOps</w:t>
            </w:r>
          </w:p>
        </w:tc>
        <w:tc>
          <w:tcPr>
            <w:tcW w:type="dxa" w:w="58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Semanas 17–19  |  10 hs</w:t>
            </w:r>
          </w:p>
        </w:tc>
      </w:tr>
      <w:tr>
        <w:tc>
          <w:tcPr>
            <w:tcW w:type="dxa" w:w="32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A7 — Informe Final PPS + paper científico</w:t>
            </w:r>
          </w:p>
        </w:tc>
        <w:tc>
          <w:tcPr>
            <w:tcW w:type="dxa" w:w="58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Semanas 18–20  |  5 hs</w:t>
            </w:r>
          </w:p>
        </w:tc>
      </w:tr>
    </w:tbl>
    <w:p>
      <w:pPr>
        <w:spacing w:after="0" w:before="60"/>
      </w:pPr>
      <w:r>
        <w:rPr>
          <w:rFonts w:ascii="Arial" w:cs="Arial" w:eastAsia="Arial" w:hAnsi="Arial"/>
          <w:color w:val="404040"/>
          <w:sz w:val="20"/>
          <w:szCs w:val="20"/>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800"/>
        <w:gridCol w:w="480"/>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tblGrid>
      <w:tr>
        <w:trPr>
          <w:tblHeader/>
        </w:trPr>
        <w:tc>
          <w:tcPr>
            <w:tcW w:type="dxa" w:w="2800"/>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b/>
                <w:bCs/>
                <w:color w:val="FFFFFF"/>
                <w:sz w:val="16"/>
                <w:szCs w:val="16"/>
              </w:rPr>
              <w:t xml:space="preserve">ACTIVIDAD</w:t>
            </w:r>
          </w:p>
        </w:tc>
        <w:tc>
          <w:tcPr>
            <w:tcW w:type="dxa" w:w="480"/>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b/>
                <w:bCs/>
                <w:color w:val="FFFFFF"/>
                <w:sz w:val="16"/>
                <w:szCs w:val="16"/>
              </w:rPr>
              <w:t xml:space="preserve">Hs.</w:t>
            </w:r>
          </w:p>
        </w:tc>
        <w:tc>
          <w:tcPr>
            <w:tcW w:type="dxa" w:w="1148"/>
            <w:gridSpan w:val="4"/>
            <w:tcBorders>
              <w:top w:val="single" w:color="1A3A6B" w:sz="4"/>
              <w:left w:val="single" w:color="1A3A6B" w:sz="4"/>
              <w:bottom w:val="single" w:color="1A3A6B" w:sz="4"/>
              <w:right w:val="single" w:color="1A3A6B" w:sz="4"/>
            </w:tcBorders>
            <w:shd w:fill="1A3A6B" w:val="clear"/>
            <w:tcMar>
              <w:top w:type="dxa" w:w="40"/>
              <w:left w:type="dxa" w:w="40"/>
              <w:bottom w:type="dxa" w:w="40"/>
              <w:right w:type="dxa" w:w="40"/>
            </w:tcMar>
            <w:vAlign w:val="center"/>
          </w:tcPr>
          <w:p>
            <w:pPr>
              <w:jc w:val="center"/>
            </w:pPr>
            <w:r>
              <w:rPr>
                <w:rFonts w:ascii="Arial" w:cs="Arial" w:eastAsia="Arial" w:hAnsi="Arial"/>
                <w:b/>
                <w:bCs/>
                <w:color w:val="FFFFFF"/>
                <w:sz w:val="15"/>
                <w:szCs w:val="15"/>
              </w:rPr>
              <w:t xml:space="preserve">Jun'26</w:t>
            </w:r>
          </w:p>
        </w:tc>
        <w:tc>
          <w:tcPr>
            <w:tcW w:type="dxa" w:w="1148"/>
            <w:gridSpan w:val="4"/>
            <w:tcBorders>
              <w:top w:val="single" w:color="1A3A6B" w:sz="4"/>
              <w:left w:val="single" w:color="1A3A6B" w:sz="4"/>
              <w:bottom w:val="single" w:color="1A3A6B" w:sz="4"/>
              <w:right w:val="single" w:color="1A3A6B" w:sz="4"/>
            </w:tcBorders>
            <w:shd w:fill="1A3A6B" w:val="clear"/>
            <w:tcMar>
              <w:top w:type="dxa" w:w="40"/>
              <w:left w:type="dxa" w:w="40"/>
              <w:bottom w:type="dxa" w:w="40"/>
              <w:right w:type="dxa" w:w="40"/>
            </w:tcMar>
            <w:vAlign w:val="center"/>
          </w:tcPr>
          <w:p>
            <w:pPr>
              <w:jc w:val="center"/>
            </w:pPr>
            <w:r>
              <w:rPr>
                <w:rFonts w:ascii="Arial" w:cs="Arial" w:eastAsia="Arial" w:hAnsi="Arial"/>
                <w:b/>
                <w:bCs/>
                <w:color w:val="FFFFFF"/>
                <w:sz w:val="15"/>
                <w:szCs w:val="15"/>
              </w:rPr>
              <w:t xml:space="preserve">Jul</w:t>
            </w:r>
          </w:p>
        </w:tc>
        <w:tc>
          <w:tcPr>
            <w:tcW w:type="dxa" w:w="1148"/>
            <w:gridSpan w:val="4"/>
            <w:tcBorders>
              <w:top w:val="single" w:color="1A3A6B" w:sz="4"/>
              <w:left w:val="single" w:color="1A3A6B" w:sz="4"/>
              <w:bottom w:val="single" w:color="1A3A6B" w:sz="4"/>
              <w:right w:val="single" w:color="1A3A6B" w:sz="4"/>
            </w:tcBorders>
            <w:shd w:fill="1A3A6B" w:val="clear"/>
            <w:tcMar>
              <w:top w:type="dxa" w:w="40"/>
              <w:left w:type="dxa" w:w="40"/>
              <w:bottom w:type="dxa" w:w="40"/>
              <w:right w:type="dxa" w:w="40"/>
            </w:tcMar>
            <w:vAlign w:val="center"/>
          </w:tcPr>
          <w:p>
            <w:pPr>
              <w:jc w:val="center"/>
            </w:pPr>
            <w:r>
              <w:rPr>
                <w:rFonts w:ascii="Arial" w:cs="Arial" w:eastAsia="Arial" w:hAnsi="Arial"/>
                <w:b/>
                <w:bCs/>
                <w:color w:val="FFFFFF"/>
                <w:sz w:val="15"/>
                <w:szCs w:val="15"/>
              </w:rPr>
              <w:t xml:space="preserve">Ago</w:t>
            </w:r>
          </w:p>
        </w:tc>
        <w:tc>
          <w:tcPr>
            <w:tcW w:type="dxa" w:w="1148"/>
            <w:gridSpan w:val="4"/>
            <w:tcBorders>
              <w:top w:val="single" w:color="1A3A6B" w:sz="4"/>
              <w:left w:val="single" w:color="1A3A6B" w:sz="4"/>
              <w:bottom w:val="single" w:color="1A3A6B" w:sz="4"/>
              <w:right w:val="single" w:color="1A3A6B" w:sz="4"/>
            </w:tcBorders>
            <w:shd w:fill="1A3A6B" w:val="clear"/>
            <w:tcMar>
              <w:top w:type="dxa" w:w="40"/>
              <w:left w:type="dxa" w:w="40"/>
              <w:bottom w:type="dxa" w:w="40"/>
              <w:right w:type="dxa" w:w="40"/>
            </w:tcMar>
            <w:vAlign w:val="center"/>
          </w:tcPr>
          <w:p>
            <w:pPr>
              <w:jc w:val="center"/>
            </w:pPr>
            <w:r>
              <w:rPr>
                <w:rFonts w:ascii="Arial" w:cs="Arial" w:eastAsia="Arial" w:hAnsi="Arial"/>
                <w:b/>
                <w:bCs/>
                <w:color w:val="FFFFFF"/>
                <w:sz w:val="15"/>
                <w:szCs w:val="15"/>
              </w:rPr>
              <w:t xml:space="preserve">Sep</w:t>
            </w:r>
          </w:p>
        </w:tc>
        <w:tc>
          <w:tcPr>
            <w:tcW w:type="dxa" w:w="1148"/>
            <w:gridSpan w:val="4"/>
            <w:tcBorders>
              <w:top w:val="single" w:color="1A3A6B" w:sz="4"/>
              <w:left w:val="single" w:color="1A3A6B" w:sz="4"/>
              <w:bottom w:val="single" w:color="1A3A6B" w:sz="4"/>
              <w:right w:val="single" w:color="1A3A6B" w:sz="4"/>
            </w:tcBorders>
            <w:shd w:fill="1A3A6B" w:val="clear"/>
            <w:tcMar>
              <w:top w:type="dxa" w:w="40"/>
              <w:left w:type="dxa" w:w="40"/>
              <w:bottom w:type="dxa" w:w="40"/>
              <w:right w:type="dxa" w:w="40"/>
            </w:tcMar>
            <w:vAlign w:val="center"/>
          </w:tcPr>
          <w:p>
            <w:pPr>
              <w:jc w:val="center"/>
            </w:pPr>
            <w:r>
              <w:rPr>
                <w:rFonts w:ascii="Arial" w:cs="Arial" w:eastAsia="Arial" w:hAnsi="Arial"/>
                <w:b/>
                <w:bCs/>
                <w:color w:val="FFFFFF"/>
                <w:sz w:val="15"/>
                <w:szCs w:val="15"/>
              </w:rPr>
              <w:t xml:space="preserve">Oct'26</w:t>
            </w:r>
          </w:p>
        </w:tc>
      </w:tr>
      <w:tr>
        <w:trPr>
          <w:tblHeader/>
        </w:trPr>
        <w:tc>
          <w:tcPr>
            <w:tcW w:type="dxa" w:w="2800"/>
            <w:tcBorders>
              <w:top w:val="single" w:color="D9D9D9" w:sz="2"/>
              <w:left w:val="single" w:color="D9D9D9" w:sz="2"/>
              <w:bottom w:val="single" w:color="D9D9D9" w:sz="2"/>
              <w:right w:val="single" w:color="D9D9D9" w:sz="2"/>
            </w:tcBorders>
            <w:shd w:fill="DEEAF1" w:val="clear"/>
            <w:tcMar>
              <w:top w:type="dxa" w:w="40"/>
              <w:left w:type="dxa" w:w="60"/>
              <w:bottom w:type="dxa" w:w="40"/>
              <w:right w:type="dxa" w:w="60"/>
            </w:tcMar>
            <w:vAlign w:val="center"/>
          </w:tcPr>
          <w:p>
            <w:r>
              <w:rPr>
                <w:rFonts w:ascii="Arial" w:cs="Arial" w:eastAsia="Arial" w:hAnsi="Arial"/>
                <w:color w:val="404040"/>
                <w:sz w:val="14"/>
                <w:szCs w:val="14"/>
              </w:rPr>
              <w:t xml:space="preserve"/>
            </w:r>
          </w:p>
        </w:tc>
        <w:tc>
          <w:tcPr>
            <w:tcW w:type="dxa" w:w="480"/>
            <w:tcBorders>
              <w:top w:val="single" w:color="D9D9D9" w:sz="2"/>
              <w:left w:val="single" w:color="D9D9D9" w:sz="2"/>
              <w:bottom w:val="single" w:color="D9D9D9" w:sz="2"/>
              <w:right w:val="single" w:color="D9D9D9" w:sz="2"/>
            </w:tcBorders>
            <w:shd w:fill="DEEAF1" w:val="clear"/>
            <w:tcMar>
              <w:top w:type="dxa" w:w="40"/>
              <w:left w:type="dxa" w:w="60"/>
              <w:bottom w:type="dxa" w:w="40"/>
              <w:right w:type="dxa" w:w="60"/>
            </w:tcMar>
            <w:vAlign w:val="center"/>
          </w:tcPr>
          <w:p>
            <w:r>
              <w:rPr>
                <w:rFonts w:ascii="Arial" w:cs="Arial" w:eastAsia="Arial" w:hAnsi="Arial"/>
                <w:color w:val="404040"/>
                <w:sz w:val="14"/>
                <w:szCs w:val="14"/>
              </w:rPr>
              <w:t xml:space="preserve"/>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S2</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S3</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S4</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S5</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S6</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S7</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S8</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S9</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S10</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S11</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S12</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S13</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S14</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S15</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S16</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S17</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S18</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S19</w:t>
            </w:r>
          </w:p>
        </w:tc>
        <w:tc>
          <w:tcPr>
            <w:tcW w:type="dxa" w:w="287"/>
            <w:tcBorders>
              <w:top w:val="single" w:color="D9D9D9" w:sz="2"/>
              <w:left w:val="single" w:color="D9D9D9" w:sz="2"/>
              <w:bottom w:val="single" w:color="D9D9D9" w:sz="2"/>
              <w:right w:val="single" w:color="D9D9D9" w:sz="2"/>
            </w:tcBorders>
            <w:shd w:fill="BDD7EE" w:val="clear"/>
            <w:tcMar>
              <w:top w:type="dxa" w:w="40"/>
              <w:left w:type="dxa" w:w="60"/>
              <w:bottom w:type="dxa" w:w="40"/>
              <w:right w:type="dxa" w:w="60"/>
            </w:tcMar>
            <w:vAlign w:val="center"/>
          </w:tcPr>
          <w:p>
            <w:pPr>
              <w:jc w:val="center"/>
            </w:pPr>
            <w:r>
              <w:rPr>
                <w:rFonts w:ascii="Arial" w:cs="Arial" w:eastAsia="Arial" w:hAnsi="Arial"/>
                <w:b/>
                <w:bCs/>
                <w:color w:val="404040"/>
                <w:sz w:val="13"/>
                <w:szCs w:val="13"/>
              </w:rPr>
              <w:t xml:space="preserve">S20</w:t>
            </w:r>
          </w:p>
        </w:tc>
      </w:tr>
      <w:tr>
        <w:tc>
          <w:tcPr>
            <w:tcW w:type="dxa" w:w="280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b/>
                <w:bCs/>
                <w:color w:val="2E75B6"/>
                <w:sz w:val="18"/>
                <w:szCs w:val="18"/>
              </w:rPr>
              <w:t xml:space="preserve">A1 </w:t>
            </w:r>
            <w:r>
              <w:rPr>
                <w:rFonts w:ascii="Arial" w:cs="Arial" w:eastAsia="Arial" w:hAnsi="Arial"/>
                <w:color w:val="404040"/>
                <w:sz w:val="18"/>
                <w:szCs w:val="18"/>
              </w:rPr>
              <w:t xml:space="preserve">Análisis de calidad actual del codebase + benchmark herramientas QA</w:t>
            </w:r>
          </w:p>
        </w:tc>
        <w:tc>
          <w:tcPr>
            <w:tcW w:type="dxa" w:w="48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pPr>
              <w:jc w:val="center"/>
            </w:pPr>
            <w:r>
              <w:rPr>
                <w:rFonts w:ascii="Arial" w:cs="Arial" w:eastAsia="Arial" w:hAnsi="Arial"/>
                <w:b/>
                <w:bCs/>
                <w:color w:val="1A3A6B"/>
                <w:sz w:val="18"/>
                <w:szCs w:val="18"/>
              </w:rPr>
              <w:t xml:space="preserve">30 hs</w:t>
            </w:r>
          </w:p>
        </w:tc>
        <w:tc>
          <w:tcPr>
            <w:tcW w:type="dxa" w:w="287"/>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r>
      <w:tr>
        <w:tc>
          <w:tcPr>
            <w:tcW w:type="dxa" w:w="2800"/>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b/>
                <w:bCs/>
                <w:color w:val="2E75B6"/>
                <w:sz w:val="18"/>
                <w:szCs w:val="18"/>
              </w:rPr>
              <w:t xml:space="preserve">A2 </w:t>
            </w:r>
            <w:r>
              <w:rPr>
                <w:rFonts w:ascii="Arial" w:cs="Arial" w:eastAsia="Arial" w:hAnsi="Arial"/>
                <w:color w:val="404040"/>
                <w:sz w:val="18"/>
                <w:szCs w:val="18"/>
              </w:rPr>
              <w:t xml:space="preserve">Diseño de estrategia de testing de IntellOps + ADRs</w:t>
            </w:r>
          </w:p>
        </w:tc>
        <w:tc>
          <w:tcPr>
            <w:tcW w:type="dxa" w:w="480"/>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pPr>
              <w:jc w:val="center"/>
            </w:pPr>
            <w:r>
              <w:rPr>
                <w:rFonts w:ascii="Arial" w:cs="Arial" w:eastAsia="Arial" w:hAnsi="Arial"/>
                <w:b/>
                <w:bCs/>
                <w:color w:val="1A3A6B"/>
                <w:sz w:val="18"/>
                <w:szCs w:val="18"/>
              </w:rPr>
              <w:t xml:space="preserve">25 hs</w:t>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F5C8B" w:sz="2"/>
              <w:left w:val="single" w:color="1F5C8B" w:sz="2"/>
              <w:bottom w:val="single" w:color="1F5C8B" w:sz="2"/>
              <w:right w:val="single" w:color="1F5C8B" w:sz="2"/>
            </w:tcBorders>
            <w:shd w:fill="1F5C8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F5C8B" w:sz="2"/>
              <w:left w:val="single" w:color="1F5C8B" w:sz="2"/>
              <w:bottom w:val="single" w:color="1F5C8B" w:sz="2"/>
              <w:right w:val="single" w:color="1F5C8B" w:sz="2"/>
            </w:tcBorders>
            <w:shd w:fill="1F5C8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F5C8B" w:sz="2"/>
              <w:left w:val="single" w:color="1F5C8B" w:sz="2"/>
              <w:bottom w:val="single" w:color="1F5C8B" w:sz="2"/>
              <w:right w:val="single" w:color="1F5C8B" w:sz="2"/>
            </w:tcBorders>
            <w:shd w:fill="1F5C8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F5C8B" w:sz="2"/>
              <w:left w:val="single" w:color="1F5C8B" w:sz="2"/>
              <w:bottom w:val="single" w:color="1F5C8B" w:sz="2"/>
              <w:right w:val="single" w:color="1F5C8B" w:sz="2"/>
            </w:tcBorders>
            <w:shd w:fill="1F5C8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r>
      <w:tr>
        <w:tc>
          <w:tcPr>
            <w:tcW w:type="dxa" w:w="280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b/>
                <w:bCs/>
                <w:color w:val="2E75B6"/>
                <w:sz w:val="18"/>
                <w:szCs w:val="18"/>
              </w:rPr>
              <w:t xml:space="preserve">A3 </w:t>
            </w:r>
            <w:r>
              <w:rPr>
                <w:rFonts w:ascii="Arial" w:cs="Arial" w:eastAsia="Arial" w:hAnsi="Arial"/>
                <w:color w:val="404040"/>
                <w:sz w:val="18"/>
                <w:szCs w:val="18"/>
              </w:rPr>
              <w:t xml:space="preserve">Pipeline CI/CD GitLab + entornos Docker Compose de testing</w:t>
            </w:r>
          </w:p>
        </w:tc>
        <w:tc>
          <w:tcPr>
            <w:tcW w:type="dxa" w:w="48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pPr>
              <w:jc w:val="center"/>
            </w:pPr>
            <w:r>
              <w:rPr>
                <w:rFonts w:ascii="Arial" w:cs="Arial" w:eastAsia="Arial" w:hAnsi="Arial"/>
                <w:b/>
                <w:bCs/>
                <w:color w:val="1A3A6B"/>
                <w:sz w:val="18"/>
                <w:szCs w:val="18"/>
              </w:rPr>
              <w:t xml:space="preserve">35 hs</w:t>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375623" w:sz="2"/>
              <w:left w:val="single" w:color="375623" w:sz="2"/>
              <w:bottom w:val="single" w:color="375623" w:sz="2"/>
              <w:right w:val="single" w:color="375623" w:sz="2"/>
            </w:tcBorders>
            <w:shd w:fill="375623"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375623" w:sz="2"/>
              <w:left w:val="single" w:color="375623" w:sz="2"/>
              <w:bottom w:val="single" w:color="375623" w:sz="2"/>
              <w:right w:val="single" w:color="375623" w:sz="2"/>
            </w:tcBorders>
            <w:shd w:fill="375623"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375623" w:sz="2"/>
              <w:left w:val="single" w:color="375623" w:sz="2"/>
              <w:bottom w:val="single" w:color="375623" w:sz="2"/>
              <w:right w:val="single" w:color="375623" w:sz="2"/>
            </w:tcBorders>
            <w:shd w:fill="375623"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375623" w:sz="2"/>
              <w:left w:val="single" w:color="375623" w:sz="2"/>
              <w:bottom w:val="single" w:color="375623" w:sz="2"/>
              <w:right w:val="single" w:color="375623" w:sz="2"/>
            </w:tcBorders>
            <w:shd w:fill="375623"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375623" w:sz="2"/>
              <w:left w:val="single" w:color="375623" w:sz="2"/>
              <w:bottom w:val="single" w:color="375623" w:sz="2"/>
              <w:right w:val="single" w:color="375623" w:sz="2"/>
            </w:tcBorders>
            <w:shd w:fill="375623"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r>
      <w:tr>
        <w:tc>
          <w:tcPr>
            <w:tcW w:type="dxa" w:w="2800"/>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b/>
                <w:bCs/>
                <w:color w:val="2E75B6"/>
                <w:sz w:val="18"/>
                <w:szCs w:val="18"/>
              </w:rPr>
              <w:t xml:space="preserve">A4 </w:t>
            </w:r>
            <w:r>
              <w:rPr>
                <w:rFonts w:ascii="Arial" w:cs="Arial" w:eastAsia="Arial" w:hAnsi="Arial"/>
                <w:color w:val="404040"/>
                <w:sz w:val="18"/>
                <w:szCs w:val="18"/>
              </w:rPr>
              <w:t xml:space="preserve">Suite de pruebas unitarias e integración de API REST</w:t>
            </w:r>
          </w:p>
        </w:tc>
        <w:tc>
          <w:tcPr>
            <w:tcW w:type="dxa" w:w="480"/>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pPr>
              <w:jc w:val="center"/>
            </w:pPr>
            <w:r>
              <w:rPr>
                <w:rFonts w:ascii="Arial" w:cs="Arial" w:eastAsia="Arial" w:hAnsi="Arial"/>
                <w:b/>
                <w:bCs/>
                <w:color w:val="1A3A6B"/>
                <w:sz w:val="18"/>
                <w:szCs w:val="18"/>
              </w:rPr>
              <w:t xml:space="preserve">55 hs</w:t>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A3A6B" w:sz="2"/>
              <w:left w:val="single" w:color="1A3A6B" w:sz="2"/>
              <w:bottom w:val="single" w:color="1A3A6B" w:sz="2"/>
              <w:right w:val="single" w:color="1A3A6B" w:sz="2"/>
            </w:tcBorders>
            <w:shd w:fill="1A3A6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A3A6B" w:sz="2"/>
              <w:left w:val="single" w:color="1A3A6B" w:sz="2"/>
              <w:bottom w:val="single" w:color="1A3A6B" w:sz="2"/>
              <w:right w:val="single" w:color="1A3A6B" w:sz="2"/>
            </w:tcBorders>
            <w:shd w:fill="1A3A6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A3A6B" w:sz="2"/>
              <w:left w:val="single" w:color="1A3A6B" w:sz="2"/>
              <w:bottom w:val="single" w:color="1A3A6B" w:sz="2"/>
              <w:right w:val="single" w:color="1A3A6B" w:sz="2"/>
            </w:tcBorders>
            <w:shd w:fill="1A3A6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A3A6B" w:sz="2"/>
              <w:left w:val="single" w:color="1A3A6B" w:sz="2"/>
              <w:bottom w:val="single" w:color="1A3A6B" w:sz="2"/>
              <w:right w:val="single" w:color="1A3A6B" w:sz="2"/>
            </w:tcBorders>
            <w:shd w:fill="1A3A6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A3A6B" w:sz="2"/>
              <w:left w:val="single" w:color="1A3A6B" w:sz="2"/>
              <w:bottom w:val="single" w:color="1A3A6B" w:sz="2"/>
              <w:right w:val="single" w:color="1A3A6B" w:sz="2"/>
            </w:tcBorders>
            <w:shd w:fill="1A3A6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A3A6B" w:sz="2"/>
              <w:left w:val="single" w:color="1A3A6B" w:sz="2"/>
              <w:bottom w:val="single" w:color="1A3A6B" w:sz="2"/>
              <w:right w:val="single" w:color="1A3A6B" w:sz="2"/>
            </w:tcBorders>
            <w:shd w:fill="1A3A6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1A3A6B" w:sz="2"/>
              <w:left w:val="single" w:color="1A3A6B" w:sz="2"/>
              <w:bottom w:val="single" w:color="1A3A6B" w:sz="2"/>
              <w:right w:val="single" w:color="1A3A6B" w:sz="2"/>
            </w:tcBorders>
            <w:shd w:fill="1A3A6B"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r>
      <w:tr>
        <w:tc>
          <w:tcPr>
            <w:tcW w:type="dxa" w:w="280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b/>
                <w:bCs/>
                <w:color w:val="2E75B6"/>
                <w:sz w:val="18"/>
                <w:szCs w:val="18"/>
              </w:rPr>
              <w:t xml:space="preserve">A5 </w:t>
            </w:r>
            <w:r>
              <w:rPr>
                <w:rFonts w:ascii="Arial" w:cs="Arial" w:eastAsia="Arial" w:hAnsi="Arial"/>
                <w:color w:val="404040"/>
                <w:sz w:val="18"/>
                <w:szCs w:val="18"/>
              </w:rPr>
              <w:t xml:space="preserve">Testing E2E del flujo completo + pruebas de rendimiento/carga</w:t>
            </w:r>
          </w:p>
        </w:tc>
        <w:tc>
          <w:tcPr>
            <w:tcW w:type="dxa" w:w="48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pPr>
              <w:jc w:val="center"/>
            </w:pPr>
            <w:r>
              <w:rPr>
                <w:rFonts w:ascii="Arial" w:cs="Arial" w:eastAsia="Arial" w:hAnsi="Arial"/>
                <w:b/>
                <w:bCs/>
                <w:color w:val="1A3A6B"/>
                <w:sz w:val="18"/>
                <w:szCs w:val="18"/>
              </w:rPr>
              <w:t xml:space="preserve">40 hs</w:t>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5E35B1" w:sz="2"/>
              <w:left w:val="single" w:color="5E35B1" w:sz="2"/>
              <w:bottom w:val="single" w:color="5E35B1" w:sz="2"/>
              <w:right w:val="single" w:color="5E35B1" w:sz="2"/>
            </w:tcBorders>
            <w:shd w:fill="5E35B1"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5E35B1" w:sz="2"/>
              <w:left w:val="single" w:color="5E35B1" w:sz="2"/>
              <w:bottom w:val="single" w:color="5E35B1" w:sz="2"/>
              <w:right w:val="single" w:color="5E35B1" w:sz="2"/>
            </w:tcBorders>
            <w:shd w:fill="5E35B1"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5E35B1" w:sz="2"/>
              <w:left w:val="single" w:color="5E35B1" w:sz="2"/>
              <w:bottom w:val="single" w:color="5E35B1" w:sz="2"/>
              <w:right w:val="single" w:color="5E35B1" w:sz="2"/>
            </w:tcBorders>
            <w:shd w:fill="5E35B1"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5E35B1" w:sz="2"/>
              <w:left w:val="single" w:color="5E35B1" w:sz="2"/>
              <w:bottom w:val="single" w:color="5E35B1" w:sz="2"/>
              <w:right w:val="single" w:color="5E35B1" w:sz="2"/>
            </w:tcBorders>
            <w:shd w:fill="5E35B1"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5E35B1" w:sz="2"/>
              <w:left w:val="single" w:color="5E35B1" w:sz="2"/>
              <w:bottom w:val="single" w:color="5E35B1" w:sz="2"/>
              <w:right w:val="single" w:color="5E35B1" w:sz="2"/>
            </w:tcBorders>
            <w:shd w:fill="5E35B1"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5E35B1" w:sz="2"/>
              <w:left w:val="single" w:color="5E35B1" w:sz="2"/>
              <w:bottom w:val="single" w:color="5E35B1" w:sz="2"/>
              <w:right w:val="single" w:color="5E35B1" w:sz="2"/>
            </w:tcBorders>
            <w:shd w:fill="5E35B1"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5E35B1" w:sz="2"/>
              <w:left w:val="single" w:color="5E35B1" w:sz="2"/>
              <w:bottom w:val="single" w:color="5E35B1" w:sz="2"/>
              <w:right w:val="single" w:color="5E35B1" w:sz="2"/>
            </w:tcBorders>
            <w:shd w:fill="5E35B1"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r>
      <w:tr>
        <w:tc>
          <w:tcPr>
            <w:tcW w:type="dxa" w:w="2800"/>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b/>
                <w:bCs/>
                <w:color w:val="2E75B6"/>
                <w:sz w:val="18"/>
                <w:szCs w:val="18"/>
              </w:rPr>
              <w:t xml:space="preserve">A6 </w:t>
            </w:r>
            <w:r>
              <w:rPr>
                <w:rFonts w:ascii="Arial" w:cs="Arial" w:eastAsia="Arial" w:hAnsi="Arial"/>
                <w:color w:val="404040"/>
                <w:sz w:val="18"/>
                <w:szCs w:val="18"/>
              </w:rPr>
              <w:t xml:space="preserve">Calibración quality gates + validación con el equipo IntellOps</w:t>
            </w:r>
          </w:p>
        </w:tc>
        <w:tc>
          <w:tcPr>
            <w:tcW w:type="dxa" w:w="480"/>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pPr>
              <w:jc w:val="center"/>
            </w:pPr>
            <w:r>
              <w:rPr>
                <w:rFonts w:ascii="Arial" w:cs="Arial" w:eastAsia="Arial" w:hAnsi="Arial"/>
                <w:b/>
                <w:bCs/>
                <w:color w:val="1A3A6B"/>
                <w:sz w:val="18"/>
                <w:szCs w:val="18"/>
              </w:rPr>
              <w:t xml:space="preserve">10 hs</w:t>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7B3F00" w:sz="2"/>
              <w:left w:val="single" w:color="7B3F00" w:sz="2"/>
              <w:bottom w:val="single" w:color="7B3F00" w:sz="2"/>
              <w:right w:val="single" w:color="7B3F00" w:sz="2"/>
            </w:tcBorders>
            <w:shd w:fill="7B3F00"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7B3F00" w:sz="2"/>
              <w:left w:val="single" w:color="7B3F00" w:sz="2"/>
              <w:bottom w:val="single" w:color="7B3F00" w:sz="2"/>
              <w:right w:val="single" w:color="7B3F00" w:sz="2"/>
            </w:tcBorders>
            <w:shd w:fill="7B3F00"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7B3F00" w:sz="2"/>
              <w:left w:val="single" w:color="7B3F00" w:sz="2"/>
              <w:bottom w:val="single" w:color="7B3F00" w:sz="2"/>
              <w:right w:val="single" w:color="7B3F00" w:sz="2"/>
            </w:tcBorders>
            <w:shd w:fill="7B3F00"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FFFFF" w:val="clear"/>
            <w:tcMar>
              <w:top w:type="dxa" w:w="40"/>
              <w:left w:type="dxa" w:w="60"/>
              <w:bottom w:type="dxa" w:w="40"/>
              <w:right w:type="dxa" w:w="60"/>
            </w:tcMar>
            <w:vAlign w:val="center"/>
          </w:tcPr>
          <w:p>
            <w:r>
              <w:rPr>
                <w:rFonts w:ascii="Arial" w:cs="Arial" w:eastAsia="Arial" w:hAnsi="Arial"/>
                <w:color w:val="404040"/>
                <w:sz w:val="12"/>
                <w:szCs w:val="12"/>
              </w:rPr>
              <w:t xml:space="preserve"/>
            </w:r>
          </w:p>
        </w:tc>
      </w:tr>
      <w:tr>
        <w:tc>
          <w:tcPr>
            <w:tcW w:type="dxa" w:w="280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b/>
                <w:bCs/>
                <w:color w:val="2E75B6"/>
                <w:sz w:val="18"/>
                <w:szCs w:val="18"/>
              </w:rPr>
              <w:t xml:space="preserve">A7 </w:t>
            </w:r>
            <w:r>
              <w:rPr>
                <w:rFonts w:ascii="Arial" w:cs="Arial" w:eastAsia="Arial" w:hAnsi="Arial"/>
                <w:color w:val="404040"/>
                <w:sz w:val="18"/>
                <w:szCs w:val="18"/>
              </w:rPr>
              <w:t xml:space="preserve">Informe Final PPS + paper científico</w:t>
            </w:r>
          </w:p>
        </w:tc>
        <w:tc>
          <w:tcPr>
            <w:tcW w:type="dxa" w:w="480"/>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pPr>
              <w:jc w:val="center"/>
            </w:pPr>
            <w:r>
              <w:rPr>
                <w:rFonts w:ascii="Arial" w:cs="Arial" w:eastAsia="Arial" w:hAnsi="Arial"/>
                <w:b/>
                <w:bCs/>
                <w:color w:val="1A3A6B"/>
                <w:sz w:val="18"/>
                <w:szCs w:val="18"/>
              </w:rPr>
              <w:t xml:space="preserve">5 hs</w:t>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D9D9D9" w:sz="2"/>
              <w:left w:val="single" w:color="D9D9D9" w:sz="2"/>
              <w:bottom w:val="single" w:color="D9D9D9" w:sz="2"/>
              <w:right w:val="single" w:color="D9D9D9" w:sz="2"/>
            </w:tcBorders>
            <w:shd w:fill="F2F2F2"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404040" w:sz="2"/>
              <w:left w:val="single" w:color="404040" w:sz="2"/>
              <w:bottom w:val="single" w:color="404040" w:sz="2"/>
              <w:right w:val="single" w:color="404040" w:sz="2"/>
            </w:tcBorders>
            <w:shd w:fill="404040"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404040" w:sz="2"/>
              <w:left w:val="single" w:color="404040" w:sz="2"/>
              <w:bottom w:val="single" w:color="404040" w:sz="2"/>
              <w:right w:val="single" w:color="404040" w:sz="2"/>
            </w:tcBorders>
            <w:shd w:fill="404040" w:val="clear"/>
            <w:tcMar>
              <w:top w:type="dxa" w:w="40"/>
              <w:left w:type="dxa" w:w="60"/>
              <w:bottom w:type="dxa" w:w="40"/>
              <w:right w:type="dxa" w:w="60"/>
            </w:tcMar>
            <w:vAlign w:val="center"/>
          </w:tcPr>
          <w:p>
            <w:r>
              <w:rPr>
                <w:rFonts w:ascii="Arial" w:cs="Arial" w:eastAsia="Arial" w:hAnsi="Arial"/>
                <w:color w:val="404040"/>
                <w:sz w:val="12"/>
                <w:szCs w:val="12"/>
              </w:rPr>
              <w:t xml:space="preserve"/>
            </w:r>
          </w:p>
        </w:tc>
        <w:tc>
          <w:tcPr>
            <w:tcW w:type="dxa" w:w="287"/>
            <w:tcBorders>
              <w:top w:val="single" w:color="404040" w:sz="2"/>
              <w:left w:val="single" w:color="404040" w:sz="2"/>
              <w:bottom w:val="single" w:color="404040" w:sz="2"/>
              <w:right w:val="single" w:color="404040" w:sz="2"/>
            </w:tcBorders>
            <w:shd w:fill="404040" w:val="clear"/>
            <w:tcMar>
              <w:top w:type="dxa" w:w="40"/>
              <w:left w:type="dxa" w:w="60"/>
              <w:bottom w:type="dxa" w:w="40"/>
              <w:right w:type="dxa" w:w="60"/>
            </w:tcMar>
            <w:vAlign w:val="center"/>
          </w:tcPr>
          <w:p>
            <w:r>
              <w:rPr>
                <w:rFonts w:ascii="Arial" w:cs="Arial" w:eastAsia="Arial" w:hAnsi="Arial"/>
                <w:color w:val="404040"/>
                <w:sz w:val="12"/>
                <w:szCs w:val="12"/>
              </w:rPr>
              <w:t xml:space="preserve"/>
            </w:r>
          </w:p>
        </w:tc>
      </w:tr>
      <w:tr>
        <w:tc>
          <w:tcPr>
            <w:tcW w:type="dxa" w:w="2800"/>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b/>
                <w:bCs/>
                <w:color w:val="FFFFFF"/>
                <w:sz w:val="18"/>
                <w:szCs w:val="18"/>
              </w:rPr>
              <w:t xml:space="preserve">TOTAL</w:t>
            </w:r>
          </w:p>
        </w:tc>
        <w:tc>
          <w:tcPr>
            <w:tcW w:type="dxa" w:w="480"/>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pPr>
              <w:jc w:val="center"/>
            </w:pPr>
            <w:r>
              <w:rPr>
                <w:rFonts w:ascii="Arial" w:cs="Arial" w:eastAsia="Arial" w:hAnsi="Arial"/>
                <w:b/>
                <w:bCs/>
                <w:color w:val="FFFFFF"/>
                <w:sz w:val="18"/>
                <w:szCs w:val="18"/>
              </w:rPr>
              <w:t xml:space="preserve">200 hs</w:t>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c>
          <w:tcPr>
            <w:tcW w:type="dxa" w:w="287"/>
            <w:tcBorders>
              <w:top w:val="single" w:color="D9D9D9" w:sz="2"/>
              <w:left w:val="single" w:color="D9D9D9" w:sz="2"/>
              <w:bottom w:val="single" w:color="D9D9D9" w:sz="2"/>
              <w:right w:val="single" w:color="D9D9D9" w:sz="2"/>
            </w:tcBorders>
            <w:shd w:fill="1A3A6B" w:val="clear"/>
            <w:tcMar>
              <w:top w:type="dxa" w:w="40"/>
              <w:left w:type="dxa" w:w="60"/>
              <w:bottom w:type="dxa" w:w="40"/>
              <w:right w:type="dxa" w:w="60"/>
            </w:tcMar>
            <w:vAlign w:val="center"/>
          </w:tcPr>
          <w:p>
            <w:r>
              <w:rPr>
                <w:rFonts w:ascii="Arial" w:cs="Arial" w:eastAsia="Arial" w:hAnsi="Arial"/>
                <w:color w:val="404040"/>
                <w:sz w:val="20"/>
                <w:szCs w:val="20"/>
              </w:rPr>
              <w:t xml:space="preserve"/>
            </w:r>
          </w:p>
        </w:tc>
      </w:tr>
    </w:tbl>
    <w:p>
      <w:pPr>
        <w:spacing w:after="0" w:before="60"/>
      </w:pPr>
      <w:r>
        <w:rPr>
          <w:rFonts w:ascii="Arial" w:cs="Arial" w:eastAsia="Arial" w:hAnsi="Arial"/>
          <w:color w:val="404040"/>
          <w:sz w:val="20"/>
          <w:szCs w:val="20"/>
        </w:rPr>
        <w:t xml:space="preserve"/>
      </w:r>
    </w:p>
    <w:p>
      <w:pPr>
        <w:spacing w:after="40" w:before="80"/>
      </w:pPr>
      <w:r>
        <w:rPr>
          <w:rFonts w:ascii="Arial" w:cs="Arial" w:eastAsia="Arial" w:hAnsi="Arial"/>
          <w:b/>
          <w:bCs/>
          <w:color w:val="1A3A6B"/>
          <w:sz w:val="20"/>
          <w:szCs w:val="20"/>
        </w:rPr>
        <w:t xml:space="preserve">Descripción de actividades:</w:t>
      </w:r>
    </w:p>
    <w:p>
      <w:pPr>
        <w:pBdr>
          <w:left w:val="single" w:color="2E75B6" w:sz="16" w:space="6"/>
        </w:pBdr>
        <w:spacing w:after="20" w:before="80"/>
        <w:ind w:left="120"/>
      </w:pPr>
      <w:r>
        <w:rPr>
          <w:rFonts w:ascii="Arial" w:cs="Arial" w:eastAsia="Arial" w:hAnsi="Arial"/>
          <w:b/>
          <w:bCs/>
          <w:color w:val="2E75B6"/>
          <w:sz w:val="20"/>
          <w:szCs w:val="20"/>
        </w:rPr>
        <w:t xml:space="preserve">A1  </w:t>
      </w:r>
      <w:r>
        <w:rPr>
          <w:rFonts w:ascii="Arial" w:cs="Arial" w:eastAsia="Arial" w:hAnsi="Arial"/>
          <w:b/>
          <w:bCs/>
          <w:color w:val="1A3A6B"/>
          <w:sz w:val="20"/>
          <w:szCs w:val="20"/>
        </w:rPr>
        <w:t xml:space="preserve">Análisis de calidad del codebase y benchmark de herramientas QA (30 hs)</w:t>
      </w:r>
    </w:p>
    <w:p>
      <w:pPr>
        <w:spacing w:after="40" w:before="0"/>
        <w:ind w:left="240"/>
      </w:pPr>
      <w:r>
        <w:rPr>
          <w:rFonts w:ascii="Arial" w:cs="Arial" w:eastAsia="Arial" w:hAnsi="Arial"/>
          <w:color w:val="404040"/>
          <w:sz w:val="19"/>
          <w:szCs w:val="19"/>
        </w:rPr>
        <w:t xml:space="preserve">Análisis estático del codebase de IntellOps: Pylint/Flake8, métricas de complejidad ciclomática, cobertura de código actual con pytest-cov. Benchmark comparativo de frameworks de testing y herramientas CI/CD. Identificación de módulos críticos sin cobertura. Entregable: informe de baseline de calidad + stack de QA seleccionado y justificado.</w:t>
      </w:r>
    </w:p>
    <w:p>
      <w:pPr>
        <w:shd w:fill="FFF2CC" w:val="clear"/>
        <w:spacing w:after="60" w:before="0"/>
        <w:ind w:left="240"/>
      </w:pPr>
      <w:r>
        <w:rPr>
          <w:rFonts w:ascii="Arial" w:cs="Arial" w:eastAsia="Arial" w:hAnsi="Arial"/>
          <w:b/>
          <w:bCs/>
          <w:color w:val="833C00"/>
          <w:sz w:val="18"/>
          <w:szCs w:val="18"/>
        </w:rPr>
        <w:t xml:space="preserve">📋 INFORME PARCIAL N° 1 — entrega 06/07/2026 (Semana 5)</w:t>
      </w:r>
    </w:p>
    <w:p>
      <w:pPr>
        <w:pBdr>
          <w:left w:val="single" w:color="2E75B6" w:sz="16" w:space="6"/>
        </w:pBdr>
        <w:spacing w:after="20" w:before="80"/>
        <w:ind w:left="120"/>
      </w:pPr>
      <w:r>
        <w:rPr>
          <w:rFonts w:ascii="Arial" w:cs="Arial" w:eastAsia="Arial" w:hAnsi="Arial"/>
          <w:b/>
          <w:bCs/>
          <w:color w:val="2E75B6"/>
          <w:sz w:val="20"/>
          <w:szCs w:val="20"/>
        </w:rPr>
        <w:t xml:space="preserve">A2  </w:t>
      </w:r>
      <w:r>
        <w:rPr>
          <w:rFonts w:ascii="Arial" w:cs="Arial" w:eastAsia="Arial" w:hAnsi="Arial"/>
          <w:b/>
          <w:bCs/>
          <w:color w:val="1A3A6B"/>
          <w:sz w:val="20"/>
          <w:szCs w:val="20"/>
        </w:rPr>
        <w:t xml:space="preserve">Diseño de la estrategia de testing de IntellOps + ADRs (25 hs)</w:t>
      </w:r>
    </w:p>
    <w:p>
      <w:pPr>
        <w:spacing w:after="40" w:before="0"/>
        <w:ind w:left="240"/>
      </w:pPr>
      <w:r>
        <w:rPr>
          <w:rFonts w:ascii="Arial" w:cs="Arial" w:eastAsia="Arial" w:hAnsi="Arial"/>
          <w:color w:val="404040"/>
          <w:sz w:val="19"/>
          <w:szCs w:val="19"/>
        </w:rPr>
        <w:t xml:space="preserve">Diseño de la estrategia de testing: tipos de prueba por módulo de IntellOps, herramientas, cobertura objetivo, datos de prueba, quality gates por etapa de la pipeline. ADRs de las decisiones clave. Esquema de integración en el repositorio del proyecto. Entregable: documento de estrategia de QA con ADRs aprobados.</w:t>
      </w:r>
    </w:p>
    <w:p>
      <w:pPr>
        <w:pBdr>
          <w:left w:val="single" w:color="2E75B6" w:sz="16" w:space="6"/>
        </w:pBdr>
        <w:spacing w:after="20" w:before="80"/>
        <w:ind w:left="120"/>
      </w:pPr>
      <w:r>
        <w:rPr>
          <w:rFonts w:ascii="Arial" w:cs="Arial" w:eastAsia="Arial" w:hAnsi="Arial"/>
          <w:b/>
          <w:bCs/>
          <w:color w:val="2E75B6"/>
          <w:sz w:val="20"/>
          <w:szCs w:val="20"/>
        </w:rPr>
        <w:t xml:space="preserve">A3  </w:t>
      </w:r>
      <w:r>
        <w:rPr>
          <w:rFonts w:ascii="Arial" w:cs="Arial" w:eastAsia="Arial" w:hAnsi="Arial"/>
          <w:b/>
          <w:bCs/>
          <w:color w:val="1A3A6B"/>
          <w:sz w:val="20"/>
          <w:szCs w:val="20"/>
        </w:rPr>
        <w:t xml:space="preserve">Pipeline CI/CD en GitLab y entornos Docker Compose (35 hs)</w:t>
      </w:r>
    </w:p>
    <w:p>
      <w:pPr>
        <w:spacing w:after="40" w:before="0"/>
        <w:ind w:left="240"/>
      </w:pPr>
      <w:r>
        <w:rPr>
          <w:rFonts w:ascii="Arial" w:cs="Arial" w:eastAsia="Arial" w:hAnsi="Arial"/>
          <w:color w:val="404040"/>
          <w:sz w:val="19"/>
          <w:szCs w:val="19"/>
        </w:rPr>
        <w:t xml:space="preserve">Configuración del .gitlab-ci.yml con stages: lint, unit-test, integration-test, build, deploy-staging. Runners de GitLab configurados. Docker Compose para entornos aislados y reproducibles. Reporte automático de cobertura integrado en cada commit. Notificaciones ante fallos. Entregable: pipeline CI/CD funcional en el repositorio del proyecto IntellOps.</w:t>
      </w:r>
    </w:p>
    <w:p>
      <w:pPr>
        <w:shd w:fill="FFF2CC" w:val="clear"/>
        <w:spacing w:after="60" w:before="0"/>
        <w:ind w:left="240"/>
      </w:pPr>
      <w:r>
        <w:rPr>
          <w:rFonts w:ascii="Arial" w:cs="Arial" w:eastAsia="Arial" w:hAnsi="Arial"/>
          <w:b/>
          <w:bCs/>
          <w:color w:val="833C00"/>
          <w:sz w:val="18"/>
          <w:szCs w:val="18"/>
        </w:rPr>
        <w:t xml:space="preserve">📋 INFORME PARCIAL N° 2 — entrega 17/08/2026 (Semana 11)</w:t>
      </w:r>
    </w:p>
    <w:p>
      <w:pPr>
        <w:pBdr>
          <w:left w:val="single" w:color="2E75B6" w:sz="16" w:space="6"/>
        </w:pBdr>
        <w:spacing w:after="20" w:before="80"/>
        <w:ind w:left="120"/>
      </w:pPr>
      <w:r>
        <w:rPr>
          <w:rFonts w:ascii="Arial" w:cs="Arial" w:eastAsia="Arial" w:hAnsi="Arial"/>
          <w:b/>
          <w:bCs/>
          <w:color w:val="2E75B6"/>
          <w:sz w:val="20"/>
          <w:szCs w:val="20"/>
        </w:rPr>
        <w:t xml:space="preserve">A4  </w:t>
      </w:r>
      <w:r>
        <w:rPr>
          <w:rFonts w:ascii="Arial" w:cs="Arial" w:eastAsia="Arial" w:hAnsi="Arial"/>
          <w:b/>
          <w:bCs/>
          <w:color w:val="1A3A6B"/>
          <w:sz w:val="20"/>
          <w:szCs w:val="20"/>
        </w:rPr>
        <w:t xml:space="preserve">Suite de pruebas unitarias e integración de API REST (55 hs)</w:t>
      </w:r>
    </w:p>
    <w:p>
      <w:pPr>
        <w:spacing w:after="40" w:before="0"/>
        <w:ind w:left="240"/>
      </w:pPr>
      <w:r>
        <w:rPr>
          <w:rFonts w:ascii="Arial" w:cs="Arial" w:eastAsia="Arial" w:hAnsi="Arial"/>
          <w:color w:val="404040"/>
          <w:sz w:val="19"/>
          <w:szCs w:val="19"/>
        </w:rPr>
        <w:t xml:space="preserve">Pruebas unitarias con pytest para módulos críticos del backend de IntellOps: normalización de métricas, lógica de negocio, transformaciones. Pruebas de integración de los endpoints REST: contratos de API, casos de borde, manejo de errores, mocks de dependencias. Cobertura ≥70% en módulos críticos con reporte automático en pipeline.</w:t>
      </w:r>
    </w:p>
    <w:p>
      <w:pPr>
        <w:pBdr>
          <w:left w:val="single" w:color="2E75B6" w:sz="16" w:space="6"/>
        </w:pBdr>
        <w:spacing w:after="20" w:before="80"/>
        <w:ind w:left="120"/>
      </w:pPr>
      <w:r>
        <w:rPr>
          <w:rFonts w:ascii="Arial" w:cs="Arial" w:eastAsia="Arial" w:hAnsi="Arial"/>
          <w:b/>
          <w:bCs/>
          <w:color w:val="2E75B6"/>
          <w:sz w:val="20"/>
          <w:szCs w:val="20"/>
        </w:rPr>
        <w:t xml:space="preserve">A5  </w:t>
      </w:r>
      <w:r>
        <w:rPr>
          <w:rFonts w:ascii="Arial" w:cs="Arial" w:eastAsia="Arial" w:hAnsi="Arial"/>
          <w:b/>
          <w:bCs/>
          <w:color w:val="1A3A6B"/>
          <w:sz w:val="20"/>
          <w:szCs w:val="20"/>
        </w:rPr>
        <w:t xml:space="preserve">Testing E2E y pruebas de rendimiento/carga (40 hs)</w:t>
      </w:r>
    </w:p>
    <w:p>
      <w:pPr>
        <w:spacing w:after="40" w:before="0"/>
        <w:ind w:left="240"/>
      </w:pPr>
      <w:r>
        <w:rPr>
          <w:rFonts w:ascii="Arial" w:cs="Arial" w:eastAsia="Arial" w:hAnsi="Arial"/>
          <w:color w:val="404040"/>
          <w:sz w:val="19"/>
          <w:szCs w:val="19"/>
        </w:rPr>
        <w:t xml:space="preserve">Pruebas E2E del flujo completo del sistema IntellOps (captura de métricas → ingesta → almacenamiento → consulta → dashboard). ≥3 escenarios críticos cubiertos. Pruebas de carga con Locust o k6: latencia de ingesta ≤500ms bajo carga estándar. Informe de rendimiento como baseline del producto. Integración E2E en la pipeline.</w:t>
      </w:r>
    </w:p>
    <w:p>
      <w:pPr>
        <w:pBdr>
          <w:left w:val="single" w:color="2E75B6" w:sz="16" w:space="6"/>
        </w:pBdr>
        <w:spacing w:after="20" w:before="80"/>
        <w:ind w:left="120"/>
      </w:pPr>
      <w:r>
        <w:rPr>
          <w:rFonts w:ascii="Arial" w:cs="Arial" w:eastAsia="Arial" w:hAnsi="Arial"/>
          <w:b/>
          <w:bCs/>
          <w:color w:val="2E75B6"/>
          <w:sz w:val="20"/>
          <w:szCs w:val="20"/>
        </w:rPr>
        <w:t xml:space="preserve">A6  </w:t>
      </w:r>
      <w:r>
        <w:rPr>
          <w:rFonts w:ascii="Arial" w:cs="Arial" w:eastAsia="Arial" w:hAnsi="Arial"/>
          <w:b/>
          <w:bCs/>
          <w:color w:val="1A3A6B"/>
          <w:sz w:val="20"/>
          <w:szCs w:val="20"/>
        </w:rPr>
        <w:t xml:space="preserve">Calibración quality gates y validación con el equipo (10 hs)</w:t>
      </w:r>
    </w:p>
    <w:p>
      <w:pPr>
        <w:spacing w:after="40" w:before="0"/>
        <w:ind w:left="240"/>
      </w:pPr>
      <w:r>
        <w:rPr>
          <w:rFonts w:ascii="Arial" w:cs="Arial" w:eastAsia="Arial" w:hAnsi="Arial"/>
          <w:color w:val="404040"/>
          <w:sz w:val="19"/>
          <w:szCs w:val="19"/>
        </w:rPr>
        <w:t xml:space="preserve">Calibración final de los quality gates (activación como bloqueantes del merge previa aprobación del equipo). Validación de la pipeline completa con el equipo InfraIT. Ajustes post-validación. Sesión de transferencia: demo de la pipeline y uso de la suite al equipo del proyecto IntellOps.</w:t>
      </w:r>
    </w:p>
    <w:p>
      <w:pPr>
        <w:pBdr>
          <w:left w:val="single" w:color="2E75B6" w:sz="16" w:space="6"/>
        </w:pBdr>
        <w:spacing w:after="20" w:before="80"/>
        <w:ind w:left="120"/>
      </w:pPr>
      <w:r>
        <w:rPr>
          <w:rFonts w:ascii="Arial" w:cs="Arial" w:eastAsia="Arial" w:hAnsi="Arial"/>
          <w:b/>
          <w:bCs/>
          <w:color w:val="2E75B6"/>
          <w:sz w:val="20"/>
          <w:szCs w:val="20"/>
        </w:rPr>
        <w:t xml:space="preserve">A7  </w:t>
      </w:r>
      <w:r>
        <w:rPr>
          <w:rFonts w:ascii="Arial" w:cs="Arial" w:eastAsia="Arial" w:hAnsi="Arial"/>
          <w:b/>
          <w:bCs/>
          <w:color w:val="1A3A6B"/>
          <w:sz w:val="20"/>
          <w:szCs w:val="20"/>
        </w:rPr>
        <w:t xml:space="preserve">Informe Final PPS + paper científico (5 hs)</w:t>
      </w:r>
    </w:p>
    <w:p>
      <w:pPr>
        <w:spacing w:after="40" w:before="0"/>
        <w:ind w:left="240"/>
      </w:pPr>
      <w:r>
        <w:rPr>
          <w:rFonts w:ascii="Arial" w:cs="Arial" w:eastAsia="Arial" w:hAnsi="Arial"/>
          <w:color w:val="404040"/>
          <w:sz w:val="19"/>
          <w:szCs w:val="19"/>
        </w:rPr>
        <w:t xml:space="preserve">Redacción del Informe Final según formato Coordinación ISI UTN FrLP. Elaboración del documento base para paper: 'Adopción de DevOps y QA Automatizado en el Desarrollo del Sistema IntellOps: un caso de estudio en el Laboratorio GIDAS UTN FrLP'. Actualización de la wiki del proyecto.</w:t>
      </w:r>
    </w:p>
    <w:p>
      <w:pPr>
        <w:spacing w:after="0" w:before="0"/>
      </w:pPr>
      <w:r>
        <w:br w:type="page"/>
      </w:r>
    </w:p>
    <w:p>
      <w:pPr>
        <w:pBdr>
          <w:top w:val="single" w:color="2E75B6" w:sz="6"/>
        </w:pBdr>
        <w:spacing w:after="80" w:before="200"/>
      </w:pPr>
      <w:r>
        <w:rPr>
          <w:rFonts w:ascii="Arial" w:cs="Arial" w:eastAsia="Arial" w:hAnsi="Arial"/>
          <w:b/>
          <w:bCs/>
          <w:color w:val="1A3A6B"/>
          <w:sz w:val="20"/>
          <w:szCs w:val="20"/>
        </w:rPr>
        <w:t xml:space="preserve">FIRMAS Y APROBACIONES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Alumno/a</w:t>
            </w:r>
          </w:p>
        </w:tc>
        <w:tc>
          <w:tcPr>
            <w:tcW w:type="dxa" w:w="62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Santiago Montanari  |  Legajo: por confirmar   Legajo: ________</w:t>
            </w:r>
          </w:p>
        </w:tc>
      </w:tr>
      <w:tr>
        <w:tc>
          <w:tcPr>
            <w:tcW w:type="dxa" w:w="28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Firma del alumno/a</w:t>
            </w:r>
          </w:p>
        </w:tc>
        <w:tc>
          <w:tcPr>
            <w:tcW w:type="dxa" w:w="62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Firma: ________________________   Fecha: ___/___/______</w:t>
            </w:r>
          </w:p>
        </w:tc>
      </w:tr>
      <w:tr>
        <w:tc>
          <w:tcPr>
            <w:tcW w:type="dxa" w:w="28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Supervisor/a GIDAS</w:t>
            </w:r>
          </w:p>
        </w:tc>
        <w:tc>
          <w:tcPr>
            <w:tcW w:type="dxa" w:w="62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Nombre: ___________________________   Cargo: _______________</w:t>
            </w:r>
          </w:p>
        </w:tc>
      </w:tr>
      <w:tr>
        <w:tc>
          <w:tcPr>
            <w:tcW w:type="dxa" w:w="28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Firma del supervisor/a</w:t>
            </w:r>
          </w:p>
        </w:tc>
        <w:tc>
          <w:tcPr>
            <w:tcW w:type="dxa" w:w="62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Firma: ________________________   Fecha: ___/___/______</w:t>
            </w:r>
          </w:p>
        </w:tc>
      </w:tr>
      <w:tr>
        <w:tc>
          <w:tcPr>
            <w:tcW w:type="dxa" w:w="28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Coordinador InfraIT</w:t>
            </w:r>
          </w:p>
        </w:tc>
        <w:tc>
          <w:tcPr>
            <w:tcW w:type="dxa" w:w="6226"/>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Emanuel Rodríguez Rodríguez</w:t>
            </w:r>
          </w:p>
        </w:tc>
      </w:tr>
      <w:tr>
        <w:tc>
          <w:tcPr>
            <w:tcW w:type="dxa" w:w="2800"/>
            <w:tcBorders>
              <w:top w:val="single" w:color="BDD7EE" w:sz="4"/>
              <w:left w:val="single" w:color="BDD7EE" w:sz="4"/>
              <w:bottom w:val="single" w:color="BDD7EE" w:sz="4"/>
              <w:right w:val="single" w:color="BDD7EE" w:sz="4"/>
            </w:tcBorders>
            <w:shd w:fill="DEEAF1" w:val="clear"/>
            <w:tcMar>
              <w:top w:type="dxa" w:w="80"/>
              <w:left w:type="dxa" w:w="120"/>
              <w:bottom w:type="dxa" w:w="80"/>
              <w:right w:type="dxa" w:w="120"/>
            </w:tcMar>
          </w:tcPr>
          <w:p>
            <w:r>
              <w:rPr>
                <w:rFonts w:ascii="Arial" w:cs="Arial" w:eastAsia="Arial" w:hAnsi="Arial"/>
                <w:b/>
                <w:bCs/>
                <w:color w:val="1A3A6B"/>
                <w:sz w:val="19"/>
                <w:szCs w:val="19"/>
              </w:rPr>
              <w:t xml:space="preserve">Aprobación Coordinación PPS</w:t>
            </w:r>
          </w:p>
        </w:tc>
        <w:tc>
          <w:tcPr>
            <w:tcW w:type="dxa" w:w="6226"/>
            <w:tcBorders>
              <w:top w:val="single" w:color="BDD7EE" w:sz="4"/>
              <w:left w:val="single" w:color="BDD7EE" w:sz="4"/>
              <w:bottom w:val="single" w:color="BDD7EE" w:sz="4"/>
              <w:right w:val="single" w:color="BDD7EE" w:sz="4"/>
            </w:tcBorders>
            <w:shd w:fill="EBF4FA" w:val="clear"/>
            <w:tcMar>
              <w:top w:type="dxa" w:w="80"/>
              <w:left w:type="dxa" w:w="120"/>
              <w:bottom w:type="dxa" w:w="80"/>
              <w:right w:type="dxa" w:w="120"/>
            </w:tcMar>
          </w:tcPr>
          <w:p>
            <w:r>
              <w:rPr>
                <w:rFonts w:ascii="Arial" w:cs="Arial" w:eastAsia="Arial" w:hAnsi="Arial"/>
                <w:color w:val="404040"/>
                <w:sz w:val="19"/>
                <w:szCs w:val="19"/>
              </w:rPr>
              <w:t xml:space="preserve">Firma: ________________________   Fecha: ___/___/______</w:t>
            </w:r>
          </w:p>
        </w:tc>
      </w:tr>
    </w:tbl>
    <w:p>
      <w:pPr>
        <w:spacing w:after="0" w:before="60"/>
      </w:pPr>
      <w:r>
        <w:rPr>
          <w:rFonts w:ascii="Arial" w:cs="Arial" w:eastAsia="Arial" w:hAnsi="Arial"/>
          <w:color w:val="404040"/>
          <w:sz w:val="20"/>
          <w:szCs w:val="20"/>
        </w:rPr>
        <w:t xml:space="preserve"/>
      </w:r>
    </w:p>
    <w:p>
      <w:pPr>
        <w:spacing w:after="0" w:before="40"/>
        <w:jc w:val="center"/>
      </w:pPr>
      <w:r>
        <w:rPr>
          <w:rFonts w:ascii="Arial" w:cs="Arial" w:eastAsia="Arial" w:hAnsi="Arial"/>
          <w:i/>
          <w:iCs/>
          <w:color w:val="2E75B6"/>
          <w:sz w:val="18"/>
          <w:szCs w:val="18"/>
        </w:rPr>
        <w:t xml:space="preserve">Grupo GIDAS · InfraIT · UTN Facultad Regional La Plata · 2026</w:t>
      </w:r>
    </w:p>
    <w:sectPr>
      <w:headerReference w:type="default" r:id="rId7"/>
      <w:pgSz w:w="11906" w:h="16838" w:orient="portrait"/>
      <w:pgMar w:top="851" w:right="1134" w:bottom="85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b/>
        <w:bCs/>
        <w:color w:val="2E75B6"/>
        <w:sz w:val="16"/>
        <w:szCs w:val="16"/>
      </w:rPr>
      <w:t xml:space="preserve">PPS 2 — Plan de Trabajo  ·  IntellOps · Módulo QA  ·  Montanari  ·  GIDAS InfraIT  ·  UTN FrLP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Arial" w:cs="Arial" w:eastAsia="Arial" w:hAnsi="Arial"/>
        <w:color w:val="2E75B6"/>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A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2026-05-27T15:00:07.816Z</dcterms:created>
  <dcterms:modified xsi:type="dcterms:W3CDTF">2026-05-27T15:00:07.816Z</dcterms:modified>
</cp:coreProperties>
</file>

<file path=docProps/custom.xml><?xml version="1.0" encoding="utf-8"?>
<Properties xmlns="http://schemas.openxmlformats.org/officeDocument/2006/custom-properties" xmlns:vt="http://schemas.openxmlformats.org/officeDocument/2006/docPropsVTypes"/>
</file>