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0" w:before="0" w:lineRule="auto"/>
        <w:jc w:val="center"/>
        <w:rPr/>
      </w:pPr>
      <w:r w:rsidDel="00000000" w:rsidR="00000000" w:rsidRPr="00000000">
        <w:rPr>
          <w:b w:val="1"/>
          <w:bCs w:val="1"/>
          <w:i w:val="0"/>
          <w:iCs w:val="0"/>
          <w:color w:val="444444"/>
          <w:sz w:val="20"/>
          <w:szCs w:val="20"/>
          <w:rtl w:val="0"/>
        </w:rPr>
        <w:t xml:space="preserve">PRÁCTICAS PROFESIONALES SUPERVISADAS · LABORATORIO GIDAS · UTN-FRLP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00" w:before="0" w:lineRule="auto"/>
        <w:jc w:val="center"/>
        <w:rPr/>
      </w:pPr>
      <w:r w:rsidDel="00000000" w:rsidR="00000000" w:rsidRPr="00000000">
        <w:rPr>
          <w:b w:val="0"/>
          <w:bCs w:val="0"/>
          <w:i w:val="1"/>
          <w:iCs w:val="1"/>
          <w:color w:val="444444"/>
          <w:sz w:val="20"/>
          <w:szCs w:val="20"/>
          <w:rtl w:val="0"/>
        </w:rPr>
        <w:t xml:space="preserve">Universidad Tecnológica Nacional — Facultad Regional La Plata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80" w:before="0" w:lineRule="auto"/>
        <w:jc w:val="center"/>
        <w:rPr/>
      </w:pPr>
      <w:r w:rsidDel="00000000" w:rsidR="00000000" w:rsidRPr="00000000">
        <w:rPr>
          <w:b w:val="1"/>
          <w:bCs w:val="1"/>
          <w:i w:val="0"/>
          <w:iCs w:val="0"/>
          <w:color w:val="1f4e79"/>
          <w:sz w:val="40"/>
          <w:szCs w:val="40"/>
          <w:rtl w:val="0"/>
        </w:rPr>
        <w:t xml:space="preserve">Alcance de las Prácticas Profesionales Supervisadas y actividades por integrante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00" w:before="0" w:lineRule="auto"/>
        <w:jc w:val="center"/>
        <w:rPr/>
      </w:pPr>
      <w:r w:rsidDel="00000000" w:rsidR="00000000" w:rsidRPr="00000000">
        <w:rPr>
          <w:b w:val="1"/>
          <w:bCs w:val="1"/>
          <w:i w:val="0"/>
          <w:iCs w:val="0"/>
          <w:sz w:val="26"/>
          <w:szCs w:val="26"/>
          <w:rtl w:val="0"/>
        </w:rPr>
        <w:t xml:space="preserve">IntellOps — Sistema de Observabilidad Predictiva UX-Céntrica + AI/LLM Open-Source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20" w:before="0" w:lineRule="auto"/>
        <w:jc w:val="center"/>
        <w:rPr/>
      </w:pPr>
      <w:r w:rsidDel="00000000" w:rsidR="00000000" w:rsidRPr="00000000">
        <w:rPr>
          <w:b w:val="0"/>
          <w:bCs w:val="0"/>
          <w:i w:val="1"/>
          <w:iCs w:val="1"/>
          <w:color w:val="444444"/>
          <w:sz w:val="18"/>
          <w:szCs w:val="18"/>
          <w:rtl w:val="0"/>
        </w:rPr>
        <w:t xml:space="preserve">Documento 2 de 2.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0" w:lineRule="auto"/>
        <w:jc w:val="both"/>
        <w:rPr/>
      </w:pP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0"/>
        </w:rPr>
        <w:t xml:space="preserve">Divide el alcance general de las prácticas sobre IntellOps en tres objetivos específicos, cada uno con su propio alcance, su plan de trabajo de 200 horas y las actividades que le competen a cada integrante. Las tres propuestas son disjuntas —ningún módulo de la EDT aparece dos veces— y entre las tres cubren la totalidad del alcance general definido en el documento 1.</w:t>
      </w:r>
      <w:r w:rsidDel="00000000" w:rsidR="00000000" w:rsidRPr="00000000">
        <w:rPr>
          <w:rtl w:val="0"/>
        </w:rPr>
      </w:r>
    </w:p>
    <w:tbl>
      <w:tblPr>
        <w:tblStyle w:val="Table1"/>
        <w:tblW w:w="941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353"/>
        <w:gridCol w:w="2353"/>
        <w:gridCol w:w="2353"/>
        <w:gridCol w:w="2353"/>
        <w:tblGridChange w:id="0">
          <w:tblGrid>
            <w:gridCol w:w="2353"/>
            <w:gridCol w:w="2353"/>
            <w:gridCol w:w="2353"/>
            <w:gridCol w:w="2353"/>
          </w:tblGrid>
        </w:tblGridChange>
      </w:tblGrid>
      <w:tr>
        <w:trPr>
          <w:cantSplit w:val="0"/>
          <w:tblHeader w:val="0"/>
        </w:trPr>
        <w:tc>
          <w:tcPr>
            <w:shd w:fill="1f4e79" w:val="clear"/>
          </w:tcPr>
          <w:p w:rsidR="00000000" w:rsidDel="00000000" w:rsidP="00000000" w:rsidRDefault="00000000" w:rsidRPr="00000000" w14:paraId="00000007">
            <w:pPr>
              <w:widowControl w:val="1"/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Propuestas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</w:tcPr>
          <w:p w:rsidR="00000000" w:rsidDel="00000000" w:rsidP="00000000" w:rsidRDefault="00000000" w:rsidRPr="00000000" w14:paraId="00000008">
            <w:pPr>
              <w:widowControl w:val="1"/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Por propuesta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</w:tcPr>
          <w:p w:rsidR="00000000" w:rsidDel="00000000" w:rsidP="00000000" w:rsidRDefault="00000000" w:rsidRPr="00000000" w14:paraId="00000009">
            <w:pPr>
              <w:widowControl w:val="1"/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</w:tcPr>
          <w:p w:rsidR="00000000" w:rsidDel="00000000" w:rsidP="00000000" w:rsidRDefault="00000000" w:rsidRPr="00000000" w14:paraId="0000000A">
            <w:pPr>
              <w:widowControl w:val="1"/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Origen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3 · una por integrante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C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200 h · mínimo del Plan de Estudios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D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600 h · alcance general de las PPS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Backlog E01–E12 · 8 sprints de 2 semanas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F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20" w:before="0" w:lineRule="auto"/>
        <w:jc w:val="both"/>
        <w:rPr/>
      </w:pP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0"/>
        </w:rPr>
        <w:t xml:space="preserve">Cada plan de trabajo respeta la estructura de actividades que pide el template del laboratorio, tomando sus tareas directamente del backlog y de la EDT del proyecto, con su código de origen. El cronograma de cada propuesta ubica sus módulos sobre las semanas de la práctica: 10 hs semanales y 200 horas totales, con informes parciales en las semanas 5 y 11.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20" w:before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rPr>
          <w:rFonts w:ascii="Liberation Serif" w:cs="Liberation Serif" w:eastAsia="Liberation Serif" w:hAnsi="Liberation Serif"/>
          <w:color w:val="1f4e7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rPr/>
      </w:pPr>
      <w:r w:rsidDel="00000000" w:rsidR="00000000" w:rsidRPr="00000000">
        <w:rPr>
          <w:rFonts w:ascii="Liberation Serif" w:cs="Liberation Serif" w:eastAsia="Liberation Serif" w:hAnsi="Liberation Serif"/>
          <w:color w:val="1f4e79"/>
          <w:rtl w:val="0"/>
        </w:rPr>
        <w:t xml:space="preserve">Modulos de trabajo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20" w:before="0" w:lineRule="auto"/>
        <w:jc w:val="both"/>
        <w:rPr/>
      </w:pP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0"/>
        </w:rPr>
        <w:t xml:space="preserve">La siguiente captura corresponde a los modulos de trabajo que desarrollaran los integrantes del proyecto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5">
      <w:pPr>
        <w:jc w:val="center"/>
        <w:rPr/>
      </w:pPr>
      <w:r w:rsidDel="00000000" w:rsidR="00000000" w:rsidRPr="00000000">
        <w:rPr/>
        <w:drawing>
          <wp:inline distB="0" distT="0" distL="0" distR="0">
            <wp:extent cx="5039995" cy="6693535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66935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rPr>
          <w:rFonts w:ascii="Liberation Serif" w:cs="Liberation Serif" w:eastAsia="Liberation Serif" w:hAnsi="Liberation Serif"/>
          <w:color w:val="1f4e7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rPr>
          <w:rFonts w:ascii="Liberation Serif" w:cs="Liberation Serif" w:eastAsia="Liberation Serif" w:hAnsi="Liberation Serif"/>
          <w:color w:val="1f4e7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rPr>
          <w:rFonts w:ascii="Liberation Serif" w:cs="Liberation Serif" w:eastAsia="Liberation Serif" w:hAnsi="Liberation Serif"/>
          <w:color w:val="1f4e7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rPr/>
      </w:pPr>
      <w:r w:rsidDel="00000000" w:rsidR="00000000" w:rsidRPr="00000000">
        <w:rPr>
          <w:rFonts w:ascii="Liberation Serif" w:cs="Liberation Serif" w:eastAsia="Liberation Serif" w:hAnsi="Liberation Serif"/>
          <w:color w:val="1f4e79"/>
          <w:rtl w:val="0"/>
        </w:rPr>
        <w:t xml:space="preserve">Propuesta A · Módulo de Seguridad (Federico Blanco Cavallero, M-SEG)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120" w:before="0" w:lineRule="auto"/>
        <w:rPr/>
      </w:pPr>
      <w:r w:rsidDel="00000000" w:rsidR="00000000" w:rsidRPr="00000000">
        <w:rPr>
          <w:b w:val="0"/>
          <w:bCs w:val="0"/>
          <w:i w:val="1"/>
          <w:iCs w:val="1"/>
          <w:sz w:val="22"/>
          <w:szCs w:val="22"/>
          <w:rtl w:val="0"/>
        </w:rPr>
        <w:t xml:space="preserve">Hardening de infraestructura, observabilidad de eventos y dashboards de seguridad integrados al sistema IntellOps.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120" w:before="160" w:lineRule="auto"/>
        <w:rPr/>
      </w:pPr>
      <w:r w:rsidDel="00000000" w:rsidR="00000000" w:rsidRPr="00000000">
        <w:rPr>
          <w:b w:val="1"/>
          <w:bCs w:val="1"/>
          <w:i w:val="0"/>
          <w:iCs w:val="0"/>
          <w:sz w:val="22"/>
          <w:szCs w:val="22"/>
          <w:rtl w:val="0"/>
        </w:rPr>
        <w:t xml:space="preserve">Datos de la práctica</w:t>
      </w:r>
      <w:r w:rsidDel="00000000" w:rsidR="00000000" w:rsidRPr="00000000">
        <w:rPr>
          <w:rtl w:val="0"/>
        </w:rPr>
      </w:r>
    </w:p>
    <w:tbl>
      <w:tblPr>
        <w:tblStyle w:val="Table2"/>
        <w:tblW w:w="941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706"/>
        <w:gridCol w:w="4706"/>
        <w:tblGridChange w:id="0">
          <w:tblGrid>
            <w:gridCol w:w="4706"/>
            <w:gridCol w:w="4706"/>
          </w:tblGrid>
        </w:tblGridChange>
      </w:tblGrid>
      <w:tr>
        <w:trPr>
          <w:cantSplit w:val="0"/>
          <w:tblHeader w:val="0"/>
        </w:trPr>
        <w:tc>
          <w:tcPr>
            <w:shd w:fill="1f4e79" w:val="clear"/>
          </w:tcPr>
          <w:p w:rsidR="00000000" w:rsidDel="00000000" w:rsidP="00000000" w:rsidRDefault="00000000" w:rsidRPr="00000000" w14:paraId="0000001C">
            <w:pPr>
              <w:widowControl w:val="1"/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</w:tcPr>
          <w:p w:rsidR="00000000" w:rsidDel="00000000" w:rsidP="00000000" w:rsidRDefault="00000000" w:rsidRPr="00000000" w14:paraId="0000001D">
            <w:pPr>
              <w:widowControl w:val="1"/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Valor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E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Estudiante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Federico Blanco Cavallero · Legajo 31729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0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Módulo / Vacante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1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M-SEG · Seguridad de IntellOps (hardening CIS + pipeline Grafana + Loki + Alloy  + dashboards)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2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Área / Grupo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InfraIT — Infraestructura IT, Cloud Computing y Arquitectura de Sistemas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4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Coordinador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Emanuel Rodríguez Rodríguez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6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Período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01/06/2026 – 19/10/2026 · 10 hs semanales · 200 hs totales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8">
      <w:pPr>
        <w:spacing w:after="120" w:before="200" w:lineRule="auto"/>
        <w:rPr/>
      </w:pPr>
      <w:r w:rsidDel="00000000" w:rsidR="00000000" w:rsidRPr="00000000">
        <w:rPr>
          <w:b w:val="1"/>
          <w:bCs w:val="1"/>
          <w:i w:val="0"/>
          <w:iCs w:val="0"/>
          <w:sz w:val="22"/>
          <w:szCs w:val="22"/>
          <w:rtl w:val="0"/>
        </w:rPr>
        <w:t xml:space="preserve">Objetivo específico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120" w:before="0" w:lineRule="auto"/>
        <w:jc w:val="both"/>
        <w:rPr/>
      </w:pP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0"/>
        </w:rPr>
        <w:t xml:space="preserve">Diseñar e implementar el módulo de seguridad del sistema IntellOps, integrando hardening CIS Benchmark Level 1 sobre la infraestructura del laboratorio,</w:t>
      </w:r>
      <w:r w:rsidDel="00000000" w:rsidR="00000000" w:rsidRPr="00000000">
        <w:rPr>
          <w:rtl w:val="0"/>
        </w:rPr>
        <w:t xml:space="preserve">una pipeline Grafana + Loki + Alloy (ADR-0001) </w:t>
      </w: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0"/>
        </w:rPr>
        <w:t xml:space="preserve"> de centralización y análisis de logs de seguridad, y dashboards de eventos de seguridad como componente funcional de la plataforma, con documentación técnica completa y un insumo para publicación científica.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120" w:before="200" w:lineRule="auto"/>
        <w:rPr/>
      </w:pPr>
      <w:r w:rsidDel="00000000" w:rsidR="00000000" w:rsidRPr="00000000">
        <w:rPr>
          <w:b w:val="1"/>
          <w:bCs w:val="1"/>
          <w:i w:val="0"/>
          <w:iCs w:val="0"/>
          <w:sz w:val="22"/>
          <w:szCs w:val="22"/>
          <w:rtl w:val="0"/>
        </w:rPr>
        <w:t xml:space="preserve">Alcance · Qué incluye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A1 · Auditoría y benchmark. </w:t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Auditoría inicial con Lynis y OpenSCAP frente a CIS Benchmark Level 1 y benchmark comparativo de herramientas open source sobre el stack GL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(baseline cuantitativo).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A2 · Diseño arquitectónico. </w:t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Topología de agentes, flujo de datos, almacenamiento y visualización; ADRs de las decisiones técnicas clave.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A3 · Hardening CIS con Ansible. </w:t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Controles CIS Level 1 mediante Ansible playbooks versionados: auditd, hardening SSH, permisos, servicios innecesarios; validación obligatoria en staging; Lynis score ≥ 70% documentado antes/después.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A4 · Pipeline de observabilidad de eventos. </w:t>
      </w:r>
      <w:r w:rsidDel="00000000" w:rsidR="00000000" w:rsidRPr="00000000">
        <w:rPr>
          <w:rtl w:val="0"/>
        </w:rPr>
        <w:t xml:space="preserve">Grafana Alloy (logs de sistema, auditd y SSH) hacia Loki </w:t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con etiquetas estándar (event.type, host, severity); parseo, normalización, retención y logs en tiempo real.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A5 · Dashboards y alertas de seguridad. </w:t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 dashboards de seguridad (autenticación, accesos no autorizados/brute force SSH, cambios en archivos críticos, alertas configurables) exportados como JSON versionados; contrato de datos de eventos publicado para consumo por E04.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A6 · Testing E2E e integración. </w:t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Testing E2E con datos reales del laboratorio; detección de eventos simulados ≤ 60 segundos; integración con el resto de IntellOps.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A7 · Informe final + paper. </w:t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Informe final PPS según formato Coordinación ISI y documento base para paper científico.</w:t>
      </w:r>
    </w:p>
    <w:p w:rsidR="00000000" w:rsidDel="00000000" w:rsidP="00000000" w:rsidRDefault="00000000" w:rsidRPr="00000000" w14:paraId="00000032">
      <w:pPr>
        <w:spacing w:after="120" w:before="200" w:lineRule="auto"/>
        <w:rPr/>
      </w:pPr>
      <w:r w:rsidDel="00000000" w:rsidR="00000000" w:rsidRPr="00000000">
        <w:rPr>
          <w:b w:val="1"/>
          <w:bCs w:val="1"/>
          <w:i w:val="0"/>
          <w:iCs w:val="0"/>
          <w:sz w:val="22"/>
          <w:szCs w:val="22"/>
          <w:rtl w:val="0"/>
        </w:rPr>
        <w:t xml:space="preserve">Alcance · Qué queda afuera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 captura de métricas RUM desde el navegador y el adaptador de ingesta (M-RUM, Fase 2): </w:t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Quedan fuera del alcance de esta práctica.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análisis predictivo, el asistente GenIA y el dashboard IA: </w:t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Quedan fuera del alcance de esta práctica.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pipeline CI/CD y las suites de tests del sistema: </w:t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Quedan fuera del alcance de esta práctica (los toma la Propuesta C).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 contratación de servicios de nube pagos: </w:t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despliegue se resuelve sobre infraestructura gratuita o propia del laboratorio.</w:t>
      </w:r>
    </w:p>
    <w:p w:rsidR="00000000" w:rsidDel="00000000" w:rsidP="00000000" w:rsidRDefault="00000000" w:rsidRPr="00000000" w14:paraId="00000037">
      <w:pPr>
        <w:spacing w:after="120" w:before="200" w:lineRule="auto"/>
        <w:rPr/>
      </w:pPr>
      <w:r w:rsidDel="00000000" w:rsidR="00000000" w:rsidRPr="00000000">
        <w:rPr>
          <w:b w:val="1"/>
          <w:bCs w:val="1"/>
          <w:i w:val="0"/>
          <w:iCs w:val="0"/>
          <w:sz w:val="22"/>
          <w:szCs w:val="22"/>
          <w:rtl w:val="0"/>
        </w:rPr>
        <w:t xml:space="preserve">Plan de trabajo · 7 actividades, 200 horas</w:t>
      </w:r>
      <w:r w:rsidDel="00000000" w:rsidR="00000000" w:rsidRPr="00000000">
        <w:rPr>
          <w:rtl w:val="0"/>
        </w:rPr>
      </w:r>
    </w:p>
    <w:tbl>
      <w:tblPr>
        <w:tblStyle w:val="Table3"/>
        <w:tblW w:w="941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82"/>
        <w:gridCol w:w="1882"/>
        <w:gridCol w:w="1882"/>
        <w:gridCol w:w="1882"/>
        <w:gridCol w:w="1882"/>
        <w:tblGridChange w:id="0">
          <w:tblGrid>
            <w:gridCol w:w="1882"/>
            <w:gridCol w:w="1882"/>
            <w:gridCol w:w="1882"/>
            <w:gridCol w:w="1882"/>
            <w:gridCol w:w="1882"/>
          </w:tblGrid>
        </w:tblGridChange>
      </w:tblGrid>
      <w:tr>
        <w:trPr>
          <w:cantSplit w:val="0"/>
          <w:tblHeader w:val="0"/>
        </w:trPr>
        <w:tc>
          <w:tcPr>
            <w:shd w:fill="1f4e79" w:val="clear"/>
          </w:tcPr>
          <w:p w:rsidR="00000000" w:rsidDel="00000000" w:rsidP="00000000" w:rsidRDefault="00000000" w:rsidRPr="00000000" w14:paraId="00000038">
            <w:pPr>
              <w:widowControl w:val="1"/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</w:tcPr>
          <w:p w:rsidR="00000000" w:rsidDel="00000000" w:rsidP="00000000" w:rsidRDefault="00000000" w:rsidRPr="00000000" w14:paraId="00000039">
            <w:pPr>
              <w:widowControl w:val="1"/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ACTIVIDAD (PPS FORMAL)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</w:tcPr>
          <w:p w:rsidR="00000000" w:rsidDel="00000000" w:rsidP="00000000" w:rsidRDefault="00000000" w:rsidRPr="00000000" w14:paraId="0000003A">
            <w:pPr>
              <w:widowControl w:val="1"/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SUBACTIVIDADES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</w:tcPr>
          <w:p w:rsidR="00000000" w:rsidDel="00000000" w:rsidP="00000000" w:rsidRDefault="00000000" w:rsidRPr="00000000" w14:paraId="0000003B">
            <w:pPr>
              <w:widowControl w:val="1"/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TAREAS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</w:tcPr>
          <w:p w:rsidR="00000000" w:rsidDel="00000000" w:rsidP="00000000" w:rsidRDefault="00000000" w:rsidRPr="00000000" w14:paraId="0000003C">
            <w:pPr>
              <w:widowControl w:val="1"/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HORAS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D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Auditoría inicial de seguridad + benchmark de herramientas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Lynis/OpenSCAP vs. CIS Level 1; benchmark GLP; baseline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30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2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Diseño arquitectónico del módulo + ADRs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Topología de agentes, flujo de datos, almacenamiento, ADRs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7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Hardening CIS Level 1 con Ansible + informe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auditd, SSH, permisos, servicios; staging obligatorio; Lynis ≥ 70%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35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C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Pipeline GLP: Filebeat/Auditbeat · Promtail · Loki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Agentes, parseo, normalización, retención, logs en tiempo real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55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1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Dashboards Grafana de seguridad + alertas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4 dashboards: auth, brute force, cambios críticos, alertas configurables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40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6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Testing E2E e integración con IntellOps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Validación con datos reales; detección ≤ 60 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B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Informe Final PPS + paper científico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Informe Coordinación ISI; paper base CACIC/JAIIO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0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32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200 h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5">
      <w:pPr>
        <w:spacing w:after="120" w:before="200" w:lineRule="auto"/>
        <w:rPr/>
      </w:pPr>
      <w:r w:rsidDel="00000000" w:rsidR="00000000" w:rsidRPr="00000000">
        <w:rPr>
          <w:b w:val="1"/>
          <w:bCs w:val="1"/>
          <w:i w:val="0"/>
          <w:iCs w:val="0"/>
          <w:sz w:val="22"/>
          <w:szCs w:val="22"/>
          <w:rtl w:val="0"/>
        </w:rPr>
        <w:t xml:space="preserve">Cronograma · 20 semanas, 10 hs semanales</w:t>
      </w:r>
      <w:r w:rsidDel="00000000" w:rsidR="00000000" w:rsidRPr="00000000">
        <w:rPr>
          <w:rtl w:val="0"/>
        </w:rPr>
      </w:r>
    </w:p>
    <w:tbl>
      <w:tblPr>
        <w:tblStyle w:val="Table4"/>
        <w:tblW w:w="9411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37"/>
        <w:gridCol w:w="3137"/>
        <w:gridCol w:w="3137"/>
        <w:tblGridChange w:id="0">
          <w:tblGrid>
            <w:gridCol w:w="3137"/>
            <w:gridCol w:w="3137"/>
            <w:gridCol w:w="3137"/>
          </w:tblGrid>
        </w:tblGridChange>
      </w:tblGrid>
      <w:tr>
        <w:trPr>
          <w:cantSplit w:val="0"/>
          <w:tblHeader w:val="0"/>
        </w:trPr>
        <w:tc>
          <w:tcPr>
            <w:shd w:fill="1f4e79" w:val="clear"/>
          </w:tcPr>
          <w:p w:rsidR="00000000" w:rsidDel="00000000" w:rsidP="00000000" w:rsidRDefault="00000000" w:rsidRPr="00000000" w14:paraId="00000066">
            <w:pPr>
              <w:widowControl w:val="1"/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Actividad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</w:tcPr>
          <w:p w:rsidR="00000000" w:rsidDel="00000000" w:rsidP="00000000" w:rsidRDefault="00000000" w:rsidRPr="00000000" w14:paraId="00000067">
            <w:pPr>
              <w:widowControl w:val="1"/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Semanas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</w:tcPr>
          <w:p w:rsidR="00000000" w:rsidDel="00000000" w:rsidP="00000000" w:rsidRDefault="00000000" w:rsidRPr="00000000" w14:paraId="00000068">
            <w:pPr>
              <w:widowControl w:val="1"/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Horas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9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A1 · Auditoría inicial + benchmark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1–4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30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C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A2 · Diseño arquitectónico + ADRs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3–6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F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A3 · Hardening CIS Level 1 con Ansible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5–10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35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2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A4 · Pipeline GLP de eventos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8–14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55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5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A5 · Dashboards de seguridad + alertas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6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12–18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7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40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8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A6 · Testing E2E e integración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9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17–19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A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B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A7 · Informe final + paper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C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18–20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D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E">
      <w:pPr>
        <w:spacing w:after="120" w:before="80" w:lineRule="auto"/>
        <w:rPr/>
      </w:pPr>
      <w:r w:rsidDel="00000000" w:rsidR="00000000" w:rsidRPr="00000000">
        <w:rPr>
          <w:b w:val="0"/>
          <w:bCs w:val="0"/>
          <w:i w:val="1"/>
          <w:iCs w:val="1"/>
          <w:sz w:val="18"/>
          <w:szCs w:val="18"/>
          <w:rtl w:val="0"/>
        </w:rPr>
        <w:t xml:space="preserve">Informes parciales: N.º 1 (06/07/2026, semana 5, ~50 hs) y N.º 2 (17/08/2026, semana 11, ~120 hs).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jc w:val="center"/>
        <w:rPr/>
      </w:pPr>
      <w:r w:rsidDel="00000000" w:rsidR="00000000" w:rsidRPr="00000000">
        <w:rPr/>
        <w:drawing>
          <wp:inline distB="0" distT="0" distL="0" distR="0">
            <wp:extent cx="5039995" cy="7901940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79019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240" w:before="0" w:lineRule="auto"/>
        <w:jc w:val="center"/>
        <w:rPr/>
      </w:pPr>
      <w:r w:rsidDel="00000000" w:rsidR="00000000" w:rsidRPr="00000000">
        <w:rPr>
          <w:b w:val="0"/>
          <w:bCs w:val="0"/>
          <w:i w:val="1"/>
          <w:iCs w:val="1"/>
          <w:color w:val="444444"/>
          <w:sz w:val="18"/>
          <w:szCs w:val="18"/>
          <w:rtl w:val="0"/>
        </w:rPr>
        <w:t xml:space="preserve">Figura 2 · Métricas de sesión de trabajo del practicante Federico Blanco Cavallero (M-SEG).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1"/>
        <w:rPr/>
      </w:pPr>
      <w:r w:rsidDel="00000000" w:rsidR="00000000" w:rsidRPr="00000000">
        <w:rPr>
          <w:rFonts w:ascii="Liberation Serif" w:cs="Liberation Serif" w:eastAsia="Liberation Serif" w:hAnsi="Liberation Serif"/>
          <w:color w:val="1f4e79"/>
          <w:rtl w:val="0"/>
        </w:rPr>
        <w:t xml:space="preserve">Propuesta B · Módulo de Observabilidad y Detección de Anomalías (Romeo Lorenzo Monfroglio, M-ML)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120" w:before="0" w:lineRule="auto"/>
        <w:rPr/>
      </w:pPr>
      <w:r w:rsidDel="00000000" w:rsidR="00000000" w:rsidRPr="00000000">
        <w:rPr>
          <w:b w:val="0"/>
          <w:bCs w:val="0"/>
          <w:i w:val="1"/>
          <w:iCs w:val="1"/>
          <w:sz w:val="22"/>
          <w:szCs w:val="22"/>
          <w:rtl w:val="0"/>
        </w:rPr>
        <w:t xml:space="preserve">La inteligencia del sistema: dataset, feature engineering, modelos de detección de anomalías, health score y la vista de IA en el frontend.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120" w:before="160" w:lineRule="auto"/>
        <w:rPr/>
      </w:pPr>
      <w:r w:rsidDel="00000000" w:rsidR="00000000" w:rsidRPr="00000000">
        <w:rPr>
          <w:b w:val="1"/>
          <w:bCs w:val="1"/>
          <w:i w:val="0"/>
          <w:iCs w:val="0"/>
          <w:sz w:val="22"/>
          <w:szCs w:val="22"/>
          <w:rtl w:val="0"/>
        </w:rPr>
        <w:t xml:space="preserve">Datos de la práctica</w:t>
      </w:r>
      <w:r w:rsidDel="00000000" w:rsidR="00000000" w:rsidRPr="00000000">
        <w:rPr>
          <w:rtl w:val="0"/>
        </w:rPr>
      </w:r>
    </w:p>
    <w:tbl>
      <w:tblPr>
        <w:tblStyle w:val="Table5"/>
        <w:tblW w:w="941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706"/>
        <w:gridCol w:w="4706"/>
        <w:tblGridChange w:id="0">
          <w:tblGrid>
            <w:gridCol w:w="4706"/>
            <w:gridCol w:w="4706"/>
          </w:tblGrid>
        </w:tblGridChange>
      </w:tblGrid>
      <w:tr>
        <w:trPr>
          <w:cantSplit w:val="0"/>
          <w:tblHeader w:val="0"/>
        </w:trPr>
        <w:tc>
          <w:tcPr>
            <w:shd w:fill="1f4e79" w:val="clear"/>
          </w:tcPr>
          <w:p w:rsidR="00000000" w:rsidDel="00000000" w:rsidP="00000000" w:rsidRDefault="00000000" w:rsidRPr="00000000" w14:paraId="00000084">
            <w:pPr>
              <w:widowControl w:val="1"/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</w:tcPr>
          <w:p w:rsidR="00000000" w:rsidDel="00000000" w:rsidP="00000000" w:rsidRDefault="00000000" w:rsidRPr="00000000" w14:paraId="00000085">
            <w:pPr>
              <w:widowControl w:val="1"/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Valor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6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Estudiante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7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Romeo Lorenzo Monfroglio · Legajo 31143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8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Módulo / Vacante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9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M-ML · V-06 Módulo de Observabilidad con Detección de Anomalías (ML)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A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Área / Grupo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B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InfraIT — Infraestructura IT, Cloud Computing y Arquitectura de Sistemas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C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Coordinador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D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Ing. Javier Marchesini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E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Período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F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04/05/2026 – 18/09/2026 · 10 hs semanales · 200 hs totales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0">
      <w:pPr>
        <w:spacing w:after="120" w:before="200" w:lineRule="auto"/>
        <w:rPr/>
      </w:pPr>
      <w:r w:rsidDel="00000000" w:rsidR="00000000" w:rsidRPr="00000000">
        <w:rPr>
          <w:b w:val="1"/>
          <w:bCs w:val="1"/>
          <w:i w:val="0"/>
          <w:iCs w:val="0"/>
          <w:sz w:val="22"/>
          <w:szCs w:val="22"/>
          <w:rtl w:val="0"/>
        </w:rPr>
        <w:t xml:space="preserve">Objetivo específico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120" w:before="0" w:lineRule="auto"/>
        <w:jc w:val="both"/>
        <w:rPr/>
      </w:pP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0"/>
        </w:rPr>
        <w:t xml:space="preserve">Diseñar e implementar un prototipo funcional del módulo de detección de anomalías del sistema IntellOps, integrando modelos de Machine Learning livianos (Isolation Forest + z-score + seasonal, F1 ≥ 0.70) con la pipeline de ingesta de métricas, el User Health Score (0-100) como valor de negocio y una interfaz de visualización interactiva orientada a la experiencia del usuario, generando documentación técnica y un informe de resultados con potencial de publicación científica.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120" w:before="200" w:lineRule="auto"/>
        <w:rPr/>
      </w:pPr>
      <w:r w:rsidDel="00000000" w:rsidR="00000000" w:rsidRPr="00000000">
        <w:rPr>
          <w:b w:val="1"/>
          <w:bCs w:val="1"/>
          <w:i w:val="0"/>
          <w:iCs w:val="0"/>
          <w:sz w:val="22"/>
          <w:szCs w:val="22"/>
          <w:rtl w:val="0"/>
        </w:rPr>
        <w:t xml:space="preserve">Alcance · Qué incluye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240" w:line="276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A1 · Análisis de caso de negocio y benchmark (30 hs | 4 Tareas)</w:t>
      </w:r>
    </w:p>
    <w:p w:rsidR="00000000" w:rsidDel="00000000" w:rsidP="00000000" w:rsidRDefault="00000000" w:rsidRPr="00000000" w14:paraId="00000094">
      <w:pPr>
        <w:numPr>
          <w:ilvl w:val="0"/>
          <w:numId w:val="4"/>
        </w:numPr>
        <w:spacing w:after="0" w:afterAutospacing="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T1.1:</w:t>
      </w:r>
      <w:r w:rsidDel="00000000" w:rsidR="00000000" w:rsidRPr="00000000">
        <w:rPr>
          <w:rFonts w:ascii="Arial" w:cs="Arial" w:eastAsia="Arial" w:hAnsi="Arial"/>
          <w:rtl w:val="0"/>
        </w:rPr>
        <w:t xml:space="preserve"> Relevamiento arquitectónico y funcional de herramientas de observabilidad de mercado (Grafana, Datadog, New Relic, Prometheus).</w:t>
      </w:r>
    </w:p>
    <w:p w:rsidR="00000000" w:rsidDel="00000000" w:rsidP="00000000" w:rsidRDefault="00000000" w:rsidRPr="00000000" w14:paraId="00000095">
      <w:pPr>
        <w:numPr>
          <w:ilvl w:val="0"/>
          <w:numId w:val="4"/>
        </w:numPr>
        <w:spacing w:after="0" w:afterAutospacing="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T1.2:</w:t>
      </w:r>
      <w:r w:rsidDel="00000000" w:rsidR="00000000" w:rsidRPr="00000000">
        <w:rPr>
          <w:rFonts w:ascii="Arial" w:cs="Arial" w:eastAsia="Arial" w:hAnsi="Arial"/>
          <w:rtl w:val="0"/>
        </w:rPr>
        <w:t xml:space="preserve"> Análisis de brechas (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Gap Analysis</w:t>
      </w:r>
      <w:r w:rsidDel="00000000" w:rsidR="00000000" w:rsidRPr="00000000">
        <w:rPr>
          <w:rFonts w:ascii="Arial" w:cs="Arial" w:eastAsia="Arial" w:hAnsi="Arial"/>
          <w:rtl w:val="0"/>
        </w:rPr>
        <w:t xml:space="preserve">) evaluando el costo computacional de las soluciones comerciales frente a la infraestructura de recursos limitados del laboratorio GIDAS.</w:t>
      </w:r>
    </w:p>
    <w:p w:rsidR="00000000" w:rsidDel="00000000" w:rsidP="00000000" w:rsidRDefault="00000000" w:rsidRPr="00000000" w14:paraId="00000096">
      <w:pPr>
        <w:numPr>
          <w:ilvl w:val="0"/>
          <w:numId w:val="4"/>
        </w:numPr>
        <w:spacing w:after="0" w:afterAutospacing="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T1.3:</w:t>
      </w:r>
      <w:r w:rsidDel="00000000" w:rsidR="00000000" w:rsidRPr="00000000">
        <w:rPr>
          <w:rFonts w:ascii="Arial" w:cs="Arial" w:eastAsia="Arial" w:hAnsi="Arial"/>
          <w:rtl w:val="0"/>
        </w:rPr>
        <w:t xml:space="preserve"> Definición del nicho del producto (AIOps para hardware legacy/on-premise con consumo &lt; 2GB RAM total).</w:t>
      </w:r>
    </w:p>
    <w:p w:rsidR="00000000" w:rsidDel="00000000" w:rsidP="00000000" w:rsidRDefault="00000000" w:rsidRPr="00000000" w14:paraId="00000097">
      <w:pPr>
        <w:numPr>
          <w:ilvl w:val="0"/>
          <w:numId w:val="4"/>
        </w:numPr>
        <w:spacing w:after="24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T1.4:</w:t>
      </w:r>
      <w:r w:rsidDel="00000000" w:rsidR="00000000" w:rsidRPr="00000000">
        <w:rPr>
          <w:rFonts w:ascii="Arial" w:cs="Arial" w:eastAsia="Arial" w:hAnsi="Arial"/>
          <w:rtl w:val="0"/>
        </w:rPr>
        <w:t xml:space="preserve"> Especificación de requerimientos funcionales y no funcionales del módulo predictivo para el MVP.</w:t>
      </w:r>
    </w:p>
    <w:p w:rsidR="00000000" w:rsidDel="00000000" w:rsidP="00000000" w:rsidRDefault="00000000" w:rsidRPr="00000000" w14:paraId="00000098">
      <w:pPr>
        <w:spacing w:after="240" w:line="276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A2 · Diseño arquitectónico y selección de stack (25 hs | 4 Tareas)</w:t>
      </w:r>
    </w:p>
    <w:p w:rsidR="00000000" w:rsidDel="00000000" w:rsidP="00000000" w:rsidRDefault="00000000" w:rsidRPr="00000000" w14:paraId="00000099">
      <w:pPr>
        <w:numPr>
          <w:ilvl w:val="0"/>
          <w:numId w:val="1"/>
        </w:numPr>
        <w:spacing w:after="0" w:afterAutospacing="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T2.1:</w:t>
      </w:r>
      <w:r w:rsidDel="00000000" w:rsidR="00000000" w:rsidRPr="00000000">
        <w:rPr>
          <w:rFonts w:ascii="Arial" w:cs="Arial" w:eastAsia="Arial" w:hAnsi="Arial"/>
          <w:rtl w:val="0"/>
        </w:rPr>
        <w:t xml:space="preserve"> Diseño de la arquitectura de integración, aislando el motor ML en un contenedor dedicado (</w:t>
      </w:r>
      <w:r w:rsidDel="00000000" w:rsidR="00000000" w:rsidRPr="00000000">
        <w:rPr>
          <w:rFonts w:ascii="Arial" w:cs="Arial" w:eastAsia="Arial" w:hAnsi="Arial"/>
          <w:color w:val="188038"/>
          <w:rtl w:val="0"/>
        </w:rPr>
        <w:t xml:space="preserve">intellops-ai-engine</w:t>
      </w:r>
      <w:r w:rsidDel="00000000" w:rsidR="00000000" w:rsidRPr="00000000">
        <w:rPr>
          <w:rFonts w:ascii="Arial" w:cs="Arial" w:eastAsia="Arial" w:hAnsi="Arial"/>
          <w:rtl w:val="0"/>
        </w:rPr>
        <w:t xml:space="preserve">) separado del Core Backend.</w:t>
      </w:r>
    </w:p>
    <w:p w:rsidR="00000000" w:rsidDel="00000000" w:rsidP="00000000" w:rsidRDefault="00000000" w:rsidRPr="00000000" w14:paraId="0000009A">
      <w:pPr>
        <w:numPr>
          <w:ilvl w:val="0"/>
          <w:numId w:val="1"/>
        </w:numPr>
        <w:spacing w:after="0" w:afterAutospacing="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T2.2:</w:t>
      </w:r>
      <w:r w:rsidDel="00000000" w:rsidR="00000000" w:rsidRPr="00000000">
        <w:rPr>
          <w:rFonts w:ascii="Arial" w:cs="Arial" w:eastAsia="Arial" w:hAnsi="Arial"/>
          <w:rtl w:val="0"/>
        </w:rPr>
        <w:t xml:space="preserve"> Selección y justificación del stack analítico (Python, FastAPI, scikit-learn, Pandas) orientado a bajo footprint de memoria (&lt; 50 MB RAM para inferencia ML).</w:t>
      </w:r>
    </w:p>
    <w:p w:rsidR="00000000" w:rsidDel="00000000" w:rsidP="00000000" w:rsidRDefault="00000000" w:rsidRPr="00000000" w14:paraId="0000009B">
      <w:pPr>
        <w:numPr>
          <w:ilvl w:val="0"/>
          <w:numId w:val="1"/>
        </w:numPr>
        <w:spacing w:after="0" w:afterAutospacing="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T2.3:</w:t>
      </w:r>
      <w:r w:rsidDel="00000000" w:rsidR="00000000" w:rsidRPr="00000000">
        <w:rPr>
          <w:rFonts w:ascii="Arial" w:cs="Arial" w:eastAsia="Arial" w:hAnsi="Arial"/>
          <w:rtl w:val="0"/>
        </w:rPr>
        <w:t xml:space="preserve"> Definición de los contratos de integración (OpenAPI / Esquemas Pydantic) para estructurar el consumo de datos desde PostgreSQL.</w:t>
      </w:r>
    </w:p>
    <w:p w:rsidR="00000000" w:rsidDel="00000000" w:rsidP="00000000" w:rsidRDefault="00000000" w:rsidRPr="00000000" w14:paraId="0000009C">
      <w:pPr>
        <w:numPr>
          <w:ilvl w:val="0"/>
          <w:numId w:val="1"/>
        </w:numPr>
        <w:spacing w:after="24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T2.4:</w:t>
      </w:r>
      <w:r w:rsidDel="00000000" w:rsidR="00000000" w:rsidRPr="00000000">
        <w:rPr>
          <w:rFonts w:ascii="Arial" w:cs="Arial" w:eastAsia="Arial" w:hAnsi="Arial"/>
          <w:rtl w:val="0"/>
        </w:rPr>
        <w:t xml:space="preserve"> Redacción de los Registros de Decisión Arquitectónica (ADRs) documentando el enfoque estadístico inicial y sentando las bases para la extensión post-PPS (LLMs/Redes Neuronales)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A3 · Agente Predictivo + backend analítico (35 hs | 5 Tareas)</w:t>
      </w:r>
    </w:p>
    <w:p w:rsidR="00000000" w:rsidDel="00000000" w:rsidP="00000000" w:rsidRDefault="00000000" w:rsidRPr="00000000" w14:paraId="0000009E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T3.1:</w:t>
      </w:r>
      <w:r w:rsidDel="00000000" w:rsidR="00000000" w:rsidRPr="00000000">
        <w:rPr>
          <w:rtl w:val="0"/>
        </w:rPr>
        <w:t xml:space="preserve"> Desarrollo de un componente de procesamiento asíncrono (</w:t>
      </w:r>
      <w:r w:rsidDel="00000000" w:rsidR="00000000" w:rsidRPr="00000000">
        <w:rPr>
          <w:i w:val="1"/>
          <w:iCs w:val="1"/>
          <w:rtl w:val="0"/>
        </w:rPr>
        <w:t xml:space="preserve">worker</w:t>
      </w:r>
      <w:r w:rsidDel="00000000" w:rsidR="00000000" w:rsidRPr="00000000">
        <w:rPr>
          <w:rtl w:val="0"/>
        </w:rPr>
        <w:t xml:space="preserve"> o servicio en segundo plano) para la extracción y evaluación de lotes de métricas, operando de forma desacoplada para no afectar el rendimiento del flujo principal de ingesta.</w:t>
      </w:r>
    </w:p>
    <w:p w:rsidR="00000000" w:rsidDel="00000000" w:rsidP="00000000" w:rsidRDefault="00000000" w:rsidRPr="00000000" w14:paraId="0000009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T3.2:</w:t>
      </w:r>
      <w:r w:rsidDel="00000000" w:rsidR="00000000" w:rsidRPr="00000000">
        <w:rPr>
          <w:rtl w:val="0"/>
        </w:rPr>
        <w:t xml:space="preserve"> Implementación de la capa de conexión y persistencia para integrarse con el repositorio de datos central del sistema, respetando los esquemas de datos consolidados por el equipo.</w:t>
      </w:r>
    </w:p>
    <w:p w:rsidR="00000000" w:rsidDel="00000000" w:rsidP="00000000" w:rsidRDefault="00000000" w:rsidRPr="00000000" w14:paraId="000000A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T3.3:</w:t>
      </w:r>
      <w:r w:rsidDel="00000000" w:rsidR="00000000" w:rsidRPr="00000000">
        <w:rPr>
          <w:rtl w:val="0"/>
        </w:rPr>
        <w:t xml:space="preserve"> Desarrollo de rutinas de preprocesamiento continuo de datos (gestión de valores atípicos o nulos, estandarización de formatos y normalización de ventanas temporales).</w:t>
      </w:r>
    </w:p>
    <w:p w:rsidR="00000000" w:rsidDel="00000000" w:rsidP="00000000" w:rsidRDefault="00000000" w:rsidRPr="00000000" w14:paraId="000000A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T3.4:</w:t>
      </w:r>
      <w:r w:rsidDel="00000000" w:rsidR="00000000" w:rsidRPr="00000000">
        <w:rPr>
          <w:rtl w:val="0"/>
        </w:rPr>
        <w:t xml:space="preserve"> Implementación de interfaces de diagnóstico (</w:t>
      </w:r>
      <w:r w:rsidDel="00000000" w:rsidR="00000000" w:rsidRPr="00000000">
        <w:rPr>
          <w:i w:val="1"/>
          <w:iCs w:val="1"/>
          <w:rtl w:val="0"/>
        </w:rPr>
        <w:t xml:space="preserve">health checks</w:t>
      </w:r>
      <w:r w:rsidDel="00000000" w:rsidR="00000000" w:rsidRPr="00000000">
        <w:rPr>
          <w:rtl w:val="0"/>
        </w:rPr>
        <w:t xml:space="preserve"> o telemetría interna) para facilitar la monitorización, recuperación y orquestación del módulo analítico.</w:t>
      </w:r>
    </w:p>
    <w:p w:rsidR="00000000" w:rsidDel="00000000" w:rsidP="00000000" w:rsidRDefault="00000000" w:rsidRPr="00000000" w14:paraId="000000A2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T3.5:</w:t>
      </w:r>
      <w:r w:rsidDel="00000000" w:rsidR="00000000" w:rsidRPr="00000000">
        <w:rPr>
          <w:rtl w:val="0"/>
        </w:rPr>
        <w:t xml:space="preserve"> Configuración y empaquetado del entorno de ejecución aislado, aplicando técnicas de optimización para asegurar un bajo consumo de recursos de cómputo y memoria según los límites del proyecto.</w:t>
      </w:r>
    </w:p>
    <w:p w:rsidR="00000000" w:rsidDel="00000000" w:rsidP="00000000" w:rsidRDefault="00000000" w:rsidRPr="00000000" w14:paraId="000000A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A4.5 · User Health Score (IO4) (15 hs | 3 Tareas)</w:t>
      </w:r>
    </w:p>
    <w:p w:rsidR="00000000" w:rsidDel="00000000" w:rsidP="00000000" w:rsidRDefault="00000000" w:rsidRPr="00000000" w14:paraId="000000A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T4.5.1:</w:t>
      </w:r>
      <w:r w:rsidDel="00000000" w:rsidR="00000000" w:rsidRPr="00000000">
        <w:rPr>
          <w:rtl w:val="0"/>
        </w:rPr>
        <w:t xml:space="preserve"> Diseño y formulación de un indicador cuantitativo agregado de salud (</w:t>
      </w:r>
      <w:r w:rsidDel="00000000" w:rsidR="00000000" w:rsidRPr="00000000">
        <w:rPr>
          <w:i w:val="1"/>
          <w:iCs w:val="1"/>
          <w:rtl w:val="0"/>
        </w:rPr>
        <w:t xml:space="preserve">Health Score</w:t>
      </w:r>
      <w:r w:rsidDel="00000000" w:rsidR="00000000" w:rsidRPr="00000000">
        <w:rPr>
          <w:rtl w:val="0"/>
        </w:rPr>
        <w:t xml:space="preserve">) utilizando un sistema de pesos configurables aplicados sobre las métricas clave de observabilidad.</w:t>
      </w:r>
    </w:p>
    <w:p w:rsidR="00000000" w:rsidDel="00000000" w:rsidP="00000000" w:rsidRDefault="00000000" w:rsidRPr="00000000" w14:paraId="000000A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T4.5.2:</w:t>
      </w:r>
      <w:r w:rsidDel="00000000" w:rsidR="00000000" w:rsidRPr="00000000">
        <w:rPr>
          <w:rtl w:val="0"/>
        </w:rPr>
        <w:t xml:space="preserve"> Implementación de una interfaz o punto de acceso programático (ej. endpoint REST o servicio interno) para la consulta dinámica del estado de salud asociado a usuarios o sesiones específicas.</w:t>
      </w:r>
    </w:p>
    <w:p w:rsidR="00000000" w:rsidDel="00000000" w:rsidP="00000000" w:rsidRDefault="00000000" w:rsidRPr="00000000" w14:paraId="000000A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T4.5.3:</w:t>
      </w:r>
      <w:r w:rsidDel="00000000" w:rsidR="00000000" w:rsidRPr="00000000">
        <w:rPr>
          <w:rtl w:val="0"/>
        </w:rPr>
        <w:t xml:space="preserve"> Validación analítica del indicador diseñado mediante el estudio de su correlación contra registros históricos de incidentes, eventos de degradación simulados o reportes de fallas.</w:t>
      </w:r>
    </w:p>
    <w:p w:rsidR="00000000" w:rsidDel="00000000" w:rsidP="00000000" w:rsidRDefault="00000000" w:rsidRPr="00000000" w14:paraId="000000A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A6 · Testing, validación operativa (10 hs | 2 Tareas)</w:t>
      </w:r>
    </w:p>
    <w:p w:rsidR="00000000" w:rsidDel="00000000" w:rsidP="00000000" w:rsidRDefault="00000000" w:rsidRPr="00000000" w14:paraId="000000A8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T6.1:</w:t>
      </w:r>
      <w:r w:rsidDel="00000000" w:rsidR="00000000" w:rsidRPr="00000000">
        <w:rPr>
          <w:rtl w:val="0"/>
        </w:rPr>
        <w:t xml:space="preserve"> Ejecución de pruebas de integración orientadas a flujos continuos (</w:t>
      </w:r>
      <w:r w:rsidDel="00000000" w:rsidR="00000000" w:rsidRPr="00000000">
        <w:rPr>
          <w:i w:val="1"/>
          <w:iCs w:val="1"/>
          <w:rtl w:val="0"/>
        </w:rPr>
        <w:t xml:space="preserve">End-to-End</w:t>
      </w:r>
      <w:r w:rsidDel="00000000" w:rsidR="00000000" w:rsidRPr="00000000">
        <w:rPr>
          <w:rtl w:val="0"/>
        </w:rPr>
        <w:t xml:space="preserve">), inyectando cargas operativas de telemetría hacia el pipeline analítico para validar la robustez del sistema bajo estrés.</w:t>
      </w:r>
    </w:p>
    <w:p w:rsidR="00000000" w:rsidDel="00000000" w:rsidP="00000000" w:rsidRDefault="00000000" w:rsidRPr="00000000" w14:paraId="000000A9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T6.2:</w:t>
      </w:r>
      <w:r w:rsidDel="00000000" w:rsidR="00000000" w:rsidRPr="00000000">
        <w:rPr>
          <w:rtl w:val="0"/>
        </w:rPr>
        <w:t xml:space="preserve"> Ajuste fino (</w:t>
      </w:r>
      <w:r w:rsidDel="00000000" w:rsidR="00000000" w:rsidRPr="00000000">
        <w:rPr>
          <w:i w:val="1"/>
          <w:iCs w:val="1"/>
          <w:rtl w:val="0"/>
        </w:rPr>
        <w:t xml:space="preserve">tuning</w:t>
      </w:r>
      <w:r w:rsidDel="00000000" w:rsidR="00000000" w:rsidRPr="00000000">
        <w:rPr>
          <w:rtl w:val="0"/>
        </w:rPr>
        <w:t xml:space="preserve">) de hiperparámetros de los algoritmos implementados y calibración de los umbrales de decisión para maximizar la asertividad y minimizar la tasa de falsos positivos en los entornos de despliegue.</w:t>
      </w:r>
    </w:p>
    <w:p w:rsidR="00000000" w:rsidDel="00000000" w:rsidP="00000000" w:rsidRDefault="00000000" w:rsidRPr="00000000" w14:paraId="000000AA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A7 · Redacción del Informe Final de PPS (5 hs | 2 Tareas)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(Requisito administrativo fuera de imputación operativa)</w:t>
      </w:r>
    </w:p>
    <w:p w:rsidR="00000000" w:rsidDel="00000000" w:rsidP="00000000" w:rsidRDefault="00000000" w:rsidRPr="00000000" w14:paraId="000000AB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T7.1:</w:t>
      </w:r>
      <w:r w:rsidDel="00000000" w:rsidR="00000000" w:rsidRPr="00000000">
        <w:rPr>
          <w:rtl w:val="0"/>
        </w:rPr>
        <w:t xml:space="preserve"> Consolidación de documentación respaldatoria (arquitectura, manuales operativos, registros de decisión) y redacción del Informe Final conforme a los lineamientos formales vigentes de la institución.</w:t>
      </w:r>
    </w:p>
    <w:p w:rsidR="00000000" w:rsidDel="00000000" w:rsidP="00000000" w:rsidRDefault="00000000" w:rsidRPr="00000000" w14:paraId="000000AC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T7.2:</w:t>
      </w:r>
      <w:r w:rsidDel="00000000" w:rsidR="00000000" w:rsidRPr="00000000">
        <w:rPr>
          <w:rtl w:val="0"/>
        </w:rPr>
        <w:t xml:space="preserve"> Elaboración de un documento de investigación o reporte técnico sintetizando la experiencia de desarrollo, estructurado como material base para posibles presentaciones en ámbitos de divulgación académica o congresos de la especialidad.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120" w:before="200" w:lineRule="auto"/>
        <w:rPr/>
      </w:pPr>
      <w:r w:rsidDel="00000000" w:rsidR="00000000" w:rsidRPr="00000000">
        <w:rPr>
          <w:b w:val="1"/>
          <w:bCs w:val="1"/>
          <w:i w:val="0"/>
          <w:iCs w:val="0"/>
          <w:sz w:val="22"/>
          <w:szCs w:val="22"/>
          <w:rtl w:val="0"/>
        </w:rPr>
        <w:t xml:space="preserve">Alcance · Qué queda afuera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 captura RUM, el adaptador y la ingesta: </w:t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Quedan fuera del alcance de esta práctica, que consume los datos ya persistidos vía contrato de dataset.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 gestión de usuarios, la API Core y la base de datos: </w:t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Quedan fuera del alcance de esta práctica, que sólo consume sus contratos.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hardening, el SIEM y los dashboards de seguridad: </w:t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Quedan fuera del alcance de esta práctica.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RCA asistido por LLM local y RAG: </w:t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Queda como Fase 2 post-PPS (E10).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 modificación de la ingesta o del Core Backend: </w:t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desarrollador no modifica los módulos de otros integrantes.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 contratación de servicios de nube pagos y el uso de GPU: </w:t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Todo corre en CPU con modelos cuantizados sobre infraestructura gratuita o propia del laboratorio.</w:t>
      </w:r>
    </w:p>
    <w:p w:rsidR="00000000" w:rsidDel="00000000" w:rsidP="00000000" w:rsidRDefault="00000000" w:rsidRPr="00000000" w14:paraId="000000B4">
      <w:pPr>
        <w:spacing w:after="120" w:before="200" w:lineRule="auto"/>
        <w:rPr/>
      </w:pPr>
      <w:r w:rsidDel="00000000" w:rsidR="00000000" w:rsidRPr="00000000">
        <w:rPr>
          <w:b w:val="1"/>
          <w:bCs w:val="1"/>
          <w:i w:val="0"/>
          <w:iCs w:val="0"/>
          <w:sz w:val="22"/>
          <w:szCs w:val="22"/>
          <w:rtl w:val="0"/>
        </w:rPr>
        <w:t xml:space="preserve">Plan de trabajo · 7 actividades, 200 horas</w:t>
      </w:r>
      <w:r w:rsidDel="00000000" w:rsidR="00000000" w:rsidRPr="00000000">
        <w:rPr>
          <w:rtl w:val="0"/>
        </w:rPr>
      </w:r>
    </w:p>
    <w:tbl>
      <w:tblPr>
        <w:tblStyle w:val="Table6"/>
        <w:tblW w:w="941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82"/>
        <w:gridCol w:w="1882"/>
        <w:gridCol w:w="1882"/>
        <w:gridCol w:w="1882"/>
        <w:gridCol w:w="1882"/>
        <w:tblGridChange w:id="0">
          <w:tblGrid>
            <w:gridCol w:w="1882"/>
            <w:gridCol w:w="1882"/>
            <w:gridCol w:w="1882"/>
            <w:gridCol w:w="1882"/>
            <w:gridCol w:w="1882"/>
          </w:tblGrid>
        </w:tblGridChange>
      </w:tblGrid>
      <w:tr>
        <w:trPr>
          <w:cantSplit w:val="0"/>
          <w:tblHeader w:val="0"/>
        </w:trPr>
        <w:tc>
          <w:tcPr>
            <w:shd w:fill="1f4e79" w:val="clear"/>
          </w:tcPr>
          <w:p w:rsidR="00000000" w:rsidDel="00000000" w:rsidP="00000000" w:rsidRDefault="00000000" w:rsidRPr="00000000" w14:paraId="000000B5">
            <w:pPr>
              <w:widowControl w:val="1"/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</w:tcPr>
          <w:p w:rsidR="00000000" w:rsidDel="00000000" w:rsidP="00000000" w:rsidRDefault="00000000" w:rsidRPr="00000000" w14:paraId="000000B6">
            <w:pPr>
              <w:widowControl w:val="1"/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</w:tcPr>
          <w:p w:rsidR="00000000" w:rsidDel="00000000" w:rsidP="00000000" w:rsidRDefault="00000000" w:rsidRPr="00000000" w14:paraId="000000B7">
            <w:pPr>
              <w:widowControl w:val="1"/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</w:tcPr>
          <w:p w:rsidR="00000000" w:rsidDel="00000000" w:rsidP="00000000" w:rsidRDefault="00000000" w:rsidRPr="00000000" w14:paraId="000000B8">
            <w:pPr>
              <w:widowControl w:val="1"/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</w:tcPr>
          <w:p w:rsidR="00000000" w:rsidDel="00000000" w:rsidP="00000000" w:rsidRDefault="00000000" w:rsidRPr="00000000" w14:paraId="000000B9">
            <w:pPr>
              <w:widowControl w:val="1"/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ACTIVIDAD (MÓDULO / EDT)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SUBACTIVIDADES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TAREAS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HORAS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Análisis de caso de negocio y benchmark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Relevamiento de herramientas, análisis de brechas, especificación de requisitos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4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30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Diseño arquitectónico y selección de stack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Arquitectura de integración, justificación técnica, ADRs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4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Agente Predictivo + backend analítico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Componente asíncrono, procesamiento ML, integración a repositorio central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5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35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Modelos ML / pipeline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EDA,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rtl w:val="0"/>
              </w:rPr>
              <w:t xml:space="preserve">baselines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, modelos de detección (anomalías/outliers), evaluación comparativa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8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50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A4.5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User Health Score (IO4)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Indicador de salud cuantitativo, interfaz de acceso, validación de correlación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3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Dashboard interactivo (frontend)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Cliente web, monitorización en TR, vistas analíticas agregadas, panel gerencial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5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30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Testing, validación operativa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Pruebas E2E de flujos,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rtl w:val="0"/>
              </w:rPr>
              <w:t xml:space="preserve">tuning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de hiperparámetros y calibración de umbrales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Redacción del Informe Final de PPS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Informe final, anexos técnicos y material de divulgación académica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5</w:t>
            </w:r>
          </w:p>
        </w:tc>
      </w:tr>
    </w:tbl>
    <w:p w:rsidR="00000000" w:rsidDel="00000000" w:rsidP="00000000" w:rsidRDefault="00000000" w:rsidRPr="00000000" w14:paraId="000000E7">
      <w:pPr>
        <w:spacing w:after="120" w:before="200" w:lineRule="auto"/>
        <w:rPr/>
      </w:pPr>
      <w:r w:rsidDel="00000000" w:rsidR="00000000" w:rsidRPr="00000000">
        <w:rPr>
          <w:b w:val="1"/>
          <w:bCs w:val="1"/>
          <w:i w:val="0"/>
          <w:iCs w:val="0"/>
          <w:sz w:val="22"/>
          <w:szCs w:val="22"/>
          <w:rtl w:val="0"/>
        </w:rPr>
        <w:t xml:space="preserve">Cronograma · 20 semanas, 10 hs semanales</w:t>
      </w:r>
      <w:r w:rsidDel="00000000" w:rsidR="00000000" w:rsidRPr="00000000">
        <w:rPr>
          <w:rtl w:val="0"/>
        </w:rPr>
      </w:r>
    </w:p>
    <w:tbl>
      <w:tblPr>
        <w:tblStyle w:val="Table7"/>
        <w:tblW w:w="9411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37"/>
        <w:gridCol w:w="3137"/>
        <w:gridCol w:w="3137"/>
        <w:tblGridChange w:id="0">
          <w:tblGrid>
            <w:gridCol w:w="3137"/>
            <w:gridCol w:w="3137"/>
            <w:gridCol w:w="3137"/>
          </w:tblGrid>
        </w:tblGridChange>
      </w:tblGrid>
      <w:tr>
        <w:trPr>
          <w:cantSplit w:val="0"/>
          <w:tblHeader w:val="0"/>
        </w:trPr>
        <w:tc>
          <w:tcPr>
            <w:shd w:fill="1f4e79" w:val="clear"/>
          </w:tcPr>
          <w:p w:rsidR="00000000" w:rsidDel="00000000" w:rsidP="00000000" w:rsidRDefault="00000000" w:rsidRPr="00000000" w14:paraId="000000E8">
            <w:pPr>
              <w:widowControl w:val="1"/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Actividad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</w:tcPr>
          <w:p w:rsidR="00000000" w:rsidDel="00000000" w:rsidP="00000000" w:rsidRDefault="00000000" w:rsidRPr="00000000" w14:paraId="000000E9">
            <w:pPr>
              <w:widowControl w:val="1"/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Semanas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</w:tcPr>
          <w:p w:rsidR="00000000" w:rsidDel="00000000" w:rsidP="00000000" w:rsidRDefault="00000000" w:rsidRPr="00000000" w14:paraId="000000EA">
            <w:pPr>
              <w:widowControl w:val="1"/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Horas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B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A1 · Análisis de caso y benchmark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C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1–4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D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30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E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A2 · Diseño arquitectónico + ADRs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F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3–6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0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1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A3 · Agente de captura + backend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2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5–10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3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35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4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A4 · Modelos ML / pipeline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5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8–15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6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45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7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A4.5 · Health Score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8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11–13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9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A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A5 · Dashboard frontend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B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12–18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C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30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D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A6 · Testing y validación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E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17–20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F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0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A7 · Informe final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1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18–20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2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3">
      <w:pPr>
        <w:jc w:val="center"/>
        <w:rPr/>
      </w:pPr>
      <w:r w:rsidDel="00000000" w:rsidR="00000000" w:rsidRPr="00000000">
        <w:rPr/>
        <w:drawing>
          <wp:inline distB="0" distT="0" distL="0" distR="0">
            <wp:extent cx="5039995" cy="3900805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39008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240" w:before="0" w:lineRule="auto"/>
        <w:jc w:val="center"/>
        <w:rPr/>
      </w:pPr>
      <w:r w:rsidDel="00000000" w:rsidR="00000000" w:rsidRPr="00000000">
        <w:rPr>
          <w:b w:val="0"/>
          <w:bCs w:val="0"/>
          <w:i w:val="1"/>
          <w:iCs w:val="1"/>
          <w:color w:val="444444"/>
          <w:sz w:val="18"/>
          <w:szCs w:val="18"/>
          <w:rtl w:val="0"/>
        </w:rPr>
        <w:t xml:space="preserve">Figura 3 · Métricas de sesión de trabajo del practicante Romeo Lorenzo Monfroglio (Ho</w:t>
      </w:r>
      <w:r w:rsidDel="00000000" w:rsidR="00000000" w:rsidRPr="00000000">
        <w:rPr>
          <w:i w:val="1"/>
          <w:iCs w:val="1"/>
          <w:color w:val="444444"/>
          <w:sz w:val="18"/>
          <w:szCs w:val="18"/>
          <w:rtl w:val="0"/>
        </w:rPr>
        <w:t xml:space="preserve">ras de trabajo estimativas</w:t>
      </w:r>
      <w:r w:rsidDel="00000000" w:rsidR="00000000" w:rsidRPr="00000000">
        <w:rPr>
          <w:b w:val="0"/>
          <w:bCs w:val="0"/>
          <w:i w:val="1"/>
          <w:iCs w:val="1"/>
          <w:color w:val="444444"/>
          <w:sz w:val="18"/>
          <w:szCs w:val="18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Style w:val="Heading1"/>
        <w:rPr/>
      </w:pPr>
      <w:r w:rsidDel="00000000" w:rsidR="00000000" w:rsidRPr="00000000">
        <w:rPr>
          <w:rFonts w:ascii="Liberation Serif" w:cs="Liberation Serif" w:eastAsia="Liberation Serif" w:hAnsi="Liberation Serif"/>
          <w:color w:val="1f4e79"/>
          <w:rtl w:val="0"/>
        </w:rPr>
        <w:t xml:space="preserve">Propuesta C · Módulo de Aseguramiento de Calidad (Santiago Montanari, M-QA)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120" w:before="0" w:lineRule="auto"/>
        <w:rPr/>
      </w:pPr>
      <w:r w:rsidDel="00000000" w:rsidR="00000000" w:rsidRPr="00000000">
        <w:rPr>
          <w:b w:val="0"/>
          <w:bCs w:val="0"/>
          <w:i w:val="1"/>
          <w:iCs w:val="1"/>
          <w:sz w:val="22"/>
          <w:szCs w:val="22"/>
          <w:rtl w:val="0"/>
        </w:rPr>
        <w:t xml:space="preserve">Testing automatizado, pipeline CI/CD y métricas de calidad del sistema de observabilidad predictiva.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after="120" w:before="160" w:lineRule="auto"/>
        <w:rPr/>
      </w:pPr>
      <w:r w:rsidDel="00000000" w:rsidR="00000000" w:rsidRPr="00000000">
        <w:rPr>
          <w:b w:val="1"/>
          <w:bCs w:val="1"/>
          <w:i w:val="0"/>
          <w:iCs w:val="0"/>
          <w:sz w:val="22"/>
          <w:szCs w:val="22"/>
          <w:rtl w:val="0"/>
        </w:rPr>
        <w:t xml:space="preserve">Datos de la práctica</w:t>
      </w:r>
      <w:r w:rsidDel="00000000" w:rsidR="00000000" w:rsidRPr="00000000">
        <w:rPr>
          <w:rtl w:val="0"/>
        </w:rPr>
      </w:r>
    </w:p>
    <w:tbl>
      <w:tblPr>
        <w:tblStyle w:val="Table8"/>
        <w:tblW w:w="941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706"/>
        <w:gridCol w:w="4706"/>
        <w:tblGridChange w:id="0">
          <w:tblGrid>
            <w:gridCol w:w="4706"/>
            <w:gridCol w:w="4706"/>
          </w:tblGrid>
        </w:tblGridChange>
      </w:tblGrid>
      <w:tr>
        <w:trPr>
          <w:cantSplit w:val="0"/>
          <w:tblHeader w:val="0"/>
        </w:trPr>
        <w:tc>
          <w:tcPr>
            <w:shd w:fill="1f4e79" w:val="clear"/>
          </w:tcPr>
          <w:p w:rsidR="00000000" w:rsidDel="00000000" w:rsidP="00000000" w:rsidRDefault="00000000" w:rsidRPr="00000000" w14:paraId="00000108">
            <w:pPr>
              <w:widowControl w:val="1"/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</w:tcPr>
          <w:p w:rsidR="00000000" w:rsidDel="00000000" w:rsidP="00000000" w:rsidRDefault="00000000" w:rsidRPr="00000000" w14:paraId="00000109">
            <w:pPr>
              <w:widowControl w:val="1"/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Valor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A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Estudiante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B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Santiago Montanari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C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Módulo / Vacante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D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M-QA · Aseguramiento de Calidad de IntellOps (testing + CI/CD + quality gates)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E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Área / Grupo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F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InfraIT — Infraestructura IT, Cloud Computing y Arquitectura de Sistemas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0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Coordinador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1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Emanuel Rodríguez Rodríguez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2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Período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3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01/06/2026 – 19/10/2026 · 10 hs semanales · 200 hs totales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4">
      <w:pPr>
        <w:spacing w:after="120" w:before="200" w:lineRule="auto"/>
        <w:rPr/>
      </w:pPr>
      <w:r w:rsidDel="00000000" w:rsidR="00000000" w:rsidRPr="00000000">
        <w:rPr>
          <w:b w:val="1"/>
          <w:bCs w:val="1"/>
          <w:i w:val="0"/>
          <w:iCs w:val="0"/>
          <w:sz w:val="22"/>
          <w:szCs w:val="22"/>
          <w:rtl w:val="0"/>
        </w:rPr>
        <w:t xml:space="preserve">Objetivo específico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after="120" w:before="0" w:lineRule="auto"/>
        <w:jc w:val="both"/>
        <w:rPr/>
      </w:pP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0"/>
        </w:rPr>
        <w:t xml:space="preserve">Diseñar e implementar el módulo de aseguramiento de calidad del sistema IntellOps, mediante la construcción de una suite de pruebas automatizadas (unitarias, integración y E2E), la configuración de una pipeline CI/CD en GitHub Actions con quality gates funcionales (cobertura ≥ 70%), entornos de testing reproducibles con Docker Compose y la producción de un informe de rendimiento del sistema, con documentación técnica completa y un insumo para publicación científica.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after="120" w:before="200" w:lineRule="auto"/>
        <w:rPr/>
      </w:pPr>
      <w:r w:rsidDel="00000000" w:rsidR="00000000" w:rsidRPr="00000000">
        <w:rPr>
          <w:b w:val="1"/>
          <w:bCs w:val="1"/>
          <w:i w:val="0"/>
          <w:iCs w:val="0"/>
          <w:sz w:val="22"/>
          <w:szCs w:val="22"/>
          <w:rtl w:val="0"/>
        </w:rPr>
        <w:t xml:space="preserve">Alcance · Qué incluye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A1 · Análisis de calidad actual. </w:t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Análisis estático del codebase (Pylint/Flake8), medición de cobertura inicial y benchmark de herramientas QA; identificación de módulos críticos.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A2 · Estrategia de testing. </w:t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Tipos de prueba por módulo, herramientas, cobertura objetivo, datos de prueba y quality gates por etapa; ADRs de las decisiones clave.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A3 · Pipeline CI/CD. </w:t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Pipeline en GitHub Actions con stages: lint, unit-test, integration-test, build, deploy-staging; entornos reproducibles en Docker Compose; reporte automático de cobertura.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A4 · Suite de pruebas unitarias e integración. </w:t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Pruebas unitarias con pytest para módulos críticos del backend (cobertura ≥ 70%) y pruebas de integración de la API REST con validación de contratos, casos de borde y manejo de errores.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A5 · Testing E2E y rendimiento. </w:t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Pruebas E2E del flujo completo (captura → ingesta → almacenamiento → consulta → dashboard, ≥ 3 escenarios) y pruebas de rendimiento/carga con k6/Locust (ingesta ≤ 500ms).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A6 · Calibración de gates y validación. </w:t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Calibración final de los quality gates (activación como bloqueantes del merge) y validación con el equipo InfraIT.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A7 · Informe final + paper. </w:t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Informe final PPS según formato Coordinación ISI y documento base para paper.</w:t>
      </w:r>
    </w:p>
    <w:p w:rsidR="00000000" w:rsidDel="00000000" w:rsidP="00000000" w:rsidRDefault="00000000" w:rsidRPr="00000000" w14:paraId="0000011E">
      <w:pPr>
        <w:spacing w:after="120" w:before="200" w:lineRule="auto"/>
        <w:rPr/>
      </w:pPr>
      <w:r w:rsidDel="00000000" w:rsidR="00000000" w:rsidRPr="00000000">
        <w:rPr>
          <w:b w:val="1"/>
          <w:bCs w:val="1"/>
          <w:i w:val="0"/>
          <w:iCs w:val="0"/>
          <w:sz w:val="22"/>
          <w:szCs w:val="22"/>
          <w:rtl w:val="0"/>
        </w:rPr>
        <w:t xml:space="preserve">Alcance · Qué queda afuera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 captura de métricas RUM, el adaptador y la ingesta: </w:t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Quedan fuera del alcance de esta práctica.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análisis predictivo, el asistente GenIA y el dashboard IA: </w:t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Quedan fuera del alcance de esta práctica, que sólo consume sus contratos.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hardening, el SIEM y los dashboards de seguridad: </w:t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Quedan fuera del alcance de esta práctica.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Los synthetic journeys instrumentados OTel y los gates OTel: </w:t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Queda como Fase 2 post-PPS (E11).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 contratación de servicios de nube pagos: </w:t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despliegue se resuelve sobre infraestructura gratuita o propia del laboratorio.</w:t>
      </w:r>
    </w:p>
    <w:p w:rsidR="00000000" w:rsidDel="00000000" w:rsidP="00000000" w:rsidRDefault="00000000" w:rsidRPr="00000000" w14:paraId="00000124">
      <w:pPr>
        <w:spacing w:after="120" w:before="200" w:lineRule="auto"/>
        <w:rPr/>
      </w:pPr>
      <w:r w:rsidDel="00000000" w:rsidR="00000000" w:rsidRPr="00000000">
        <w:rPr>
          <w:b w:val="1"/>
          <w:bCs w:val="1"/>
          <w:i w:val="0"/>
          <w:iCs w:val="0"/>
          <w:sz w:val="22"/>
          <w:szCs w:val="22"/>
          <w:rtl w:val="0"/>
        </w:rPr>
        <w:t xml:space="preserve">Plan de trabajo · 7 actividades, 200 horas</w:t>
      </w:r>
      <w:r w:rsidDel="00000000" w:rsidR="00000000" w:rsidRPr="00000000">
        <w:rPr>
          <w:rtl w:val="0"/>
        </w:rPr>
      </w:r>
    </w:p>
    <w:tbl>
      <w:tblPr>
        <w:tblStyle w:val="Table9"/>
        <w:tblW w:w="941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82"/>
        <w:gridCol w:w="1882"/>
        <w:gridCol w:w="1882"/>
        <w:gridCol w:w="1882"/>
        <w:gridCol w:w="1882"/>
        <w:tblGridChange w:id="0">
          <w:tblGrid>
            <w:gridCol w:w="1882"/>
            <w:gridCol w:w="1882"/>
            <w:gridCol w:w="1882"/>
            <w:gridCol w:w="1882"/>
            <w:gridCol w:w="1882"/>
          </w:tblGrid>
        </w:tblGridChange>
      </w:tblGrid>
      <w:tr>
        <w:trPr>
          <w:cantSplit w:val="0"/>
          <w:tblHeader w:val="0"/>
        </w:trPr>
        <w:tc>
          <w:tcPr>
            <w:shd w:fill="1f4e79" w:val="clear"/>
          </w:tcPr>
          <w:p w:rsidR="00000000" w:rsidDel="00000000" w:rsidP="00000000" w:rsidRDefault="00000000" w:rsidRPr="00000000" w14:paraId="00000125">
            <w:pPr>
              <w:widowControl w:val="1"/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</w:tcPr>
          <w:p w:rsidR="00000000" w:rsidDel="00000000" w:rsidP="00000000" w:rsidRDefault="00000000" w:rsidRPr="00000000" w14:paraId="00000126">
            <w:pPr>
              <w:widowControl w:val="1"/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ACTIVIDAD (PPS FORMAL)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</w:tcPr>
          <w:p w:rsidR="00000000" w:rsidDel="00000000" w:rsidP="00000000" w:rsidRDefault="00000000" w:rsidRPr="00000000" w14:paraId="00000127">
            <w:pPr>
              <w:widowControl w:val="1"/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SUBACTIVIDADES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</w:tcPr>
          <w:p w:rsidR="00000000" w:rsidDel="00000000" w:rsidP="00000000" w:rsidRDefault="00000000" w:rsidRPr="00000000" w14:paraId="00000128">
            <w:pPr>
              <w:widowControl w:val="1"/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TAREAS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</w:tcPr>
          <w:p w:rsidR="00000000" w:rsidDel="00000000" w:rsidP="00000000" w:rsidRDefault="00000000" w:rsidRPr="00000000" w14:paraId="00000129">
            <w:pPr>
              <w:widowControl w:val="1"/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HORAS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A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B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Análisis de calidad actual + benchmark herramientas QA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C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Análisis estático, cobertura baseline, benchmark, módulos críticos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D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E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30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F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0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Diseño de estrategia de testing + ADRs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1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Tipos de prueba, herramientas, cobertura objetivo, quality gates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2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3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4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5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Pipeline CI/CD GitHub Actions + entornos Docker Compose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6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Stages lint/unit/integration/build/deploy, reporte de cobertura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7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8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35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9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A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Suite de pruebas unitarias e integración de API REST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B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pytest, cobertura ≥ 70%, contratos, bordes, errores, mocks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C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D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55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E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F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Testing E2E del flujo completo + rendimiento/carga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0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≥ 3 escenarios E2E, k6/Locust, ingesta ≤ 500ms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1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2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40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3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4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Calibración quality gates + validación con el equipo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5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Gates bloqueantes, validación con InfraIT, transferencia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6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7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8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9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Informe Final PPS + paper científico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A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Informe Coordinación ISI; paper base CACIC/JAIIO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B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C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D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E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F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0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32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1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200 h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2">
      <w:pPr>
        <w:spacing w:after="120" w:before="200" w:lineRule="auto"/>
        <w:rPr/>
      </w:pPr>
      <w:r w:rsidDel="00000000" w:rsidR="00000000" w:rsidRPr="00000000">
        <w:rPr>
          <w:b w:val="1"/>
          <w:bCs w:val="1"/>
          <w:i w:val="0"/>
          <w:iCs w:val="0"/>
          <w:sz w:val="22"/>
          <w:szCs w:val="22"/>
          <w:rtl w:val="0"/>
        </w:rPr>
        <w:t xml:space="preserve">Cronograma · 20 semanas, 10 hs semanales</w:t>
      </w:r>
      <w:r w:rsidDel="00000000" w:rsidR="00000000" w:rsidRPr="00000000">
        <w:rPr>
          <w:rtl w:val="0"/>
        </w:rPr>
      </w:r>
    </w:p>
    <w:tbl>
      <w:tblPr>
        <w:tblStyle w:val="Table10"/>
        <w:tblW w:w="9411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37"/>
        <w:gridCol w:w="3137"/>
        <w:gridCol w:w="3137"/>
        <w:tblGridChange w:id="0">
          <w:tblGrid>
            <w:gridCol w:w="3137"/>
            <w:gridCol w:w="3137"/>
            <w:gridCol w:w="3137"/>
          </w:tblGrid>
        </w:tblGridChange>
      </w:tblGrid>
      <w:tr>
        <w:trPr>
          <w:cantSplit w:val="0"/>
          <w:tblHeader w:val="0"/>
        </w:trPr>
        <w:tc>
          <w:tcPr>
            <w:shd w:fill="1f4e79" w:val="clear"/>
          </w:tcPr>
          <w:p w:rsidR="00000000" w:rsidDel="00000000" w:rsidP="00000000" w:rsidRDefault="00000000" w:rsidRPr="00000000" w14:paraId="00000153">
            <w:pPr>
              <w:widowControl w:val="1"/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Actividad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</w:tcPr>
          <w:p w:rsidR="00000000" w:rsidDel="00000000" w:rsidP="00000000" w:rsidRDefault="00000000" w:rsidRPr="00000000" w14:paraId="00000154">
            <w:pPr>
              <w:widowControl w:val="1"/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Semanas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</w:tcPr>
          <w:p w:rsidR="00000000" w:rsidDel="00000000" w:rsidP="00000000" w:rsidRDefault="00000000" w:rsidRPr="00000000" w14:paraId="00000155">
            <w:pPr>
              <w:widowControl w:val="1"/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Horas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6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A1 · Análisis de calidad actual + benchmark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7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1–4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8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30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9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A2 · Estrategia de testing + ADRs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A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3–6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B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C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A3 · Pipeline CI/CD + Docker Compose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D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5–9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E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35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F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A4 · Suite unitarias + integración API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0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8–14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1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55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2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A5 · E2E + rendimiento/carga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3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12–18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4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40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5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A6 · Calibración gates + validación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6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17–19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7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8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A7 · Informe final + paper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9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18–20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A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B">
      <w:pPr>
        <w:spacing w:after="120" w:before="80" w:lineRule="auto"/>
        <w:rPr/>
      </w:pPr>
      <w:r w:rsidDel="00000000" w:rsidR="00000000" w:rsidRPr="00000000">
        <w:rPr>
          <w:b w:val="0"/>
          <w:bCs w:val="0"/>
          <w:i w:val="1"/>
          <w:iCs w:val="1"/>
          <w:sz w:val="18"/>
          <w:szCs w:val="18"/>
          <w:rtl w:val="0"/>
        </w:rPr>
        <w:t xml:space="preserve">Informes parciales: N.º 1 (06/07/2026, semana 5, ~50 hs) y N.º 2 (17/08/2026, semana 11, ~120 hs).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jc w:val="center"/>
        <w:rPr/>
      </w:pPr>
      <w:r w:rsidDel="00000000" w:rsidR="00000000" w:rsidRPr="00000000">
        <w:rPr/>
        <w:drawing>
          <wp:inline distB="0" distT="0" distL="0" distR="0">
            <wp:extent cx="5039995" cy="8233410"/>
            <wp:effectExtent b="0" l="0" r="0" t="0"/>
            <wp:docPr id="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82334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spacing w:after="240" w:before="0" w:lineRule="auto"/>
        <w:jc w:val="center"/>
        <w:rPr/>
      </w:pPr>
      <w:r w:rsidDel="00000000" w:rsidR="00000000" w:rsidRPr="00000000">
        <w:rPr>
          <w:b w:val="0"/>
          <w:bCs w:val="0"/>
          <w:i w:val="1"/>
          <w:iCs w:val="1"/>
          <w:color w:val="444444"/>
          <w:sz w:val="18"/>
          <w:szCs w:val="18"/>
          <w:rtl w:val="0"/>
        </w:rPr>
        <w:t xml:space="preserve">Figura 4 · Métricas de sesión de trabajo del practicante Santiago Montanari (M-QA).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pStyle w:val="Heading1"/>
        <w:rPr>
          <w:b w:val="0"/>
          <w:bCs w:val="0"/>
          <w:i w:val="1"/>
          <w:iCs w:val="1"/>
          <w:color w:val="444444"/>
          <w:sz w:val="18"/>
          <w:szCs w:val="18"/>
        </w:rPr>
      </w:pPr>
      <w:r w:rsidDel="00000000" w:rsidR="00000000" w:rsidRPr="00000000">
        <w:rPr>
          <w:rtl w:val="0"/>
        </w:rPr>
      </w:r>
    </w:p>
    <w:sectPr>
      <w:headerReference r:id="rId11" w:type="default"/>
      <w:pgSz w:h="16838" w:w="11906" w:orient="portrait"/>
      <w:pgMar w:bottom="1247" w:top="1247" w:left="1247" w:right="1247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Noto Sans Symbols">
    <w:embedRegular w:fontKey="{00000000-0000-0000-0000-000000000000}" r:id="rId1" w:subsetted="0"/>
    <w:embedBold w:fontKey="{00000000-0000-0000-0000-000000000000}" r:id="rId2" w:subsetted="0"/>
  </w:font>
  <w:font w:name="Liberation Serif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6F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decimal"/>
      <w:lvlText w:val="%2."/>
      <w:lvlJc w:val="left"/>
      <w:pPr>
        <w:ind w:left="1080" w:hanging="360"/>
      </w:pPr>
      <w:rPr/>
    </w:lvl>
    <w:lvl w:ilvl="2">
      <w:start w:val="1"/>
      <w:numFmt w:val="decimal"/>
      <w:lvlText w:val="%3."/>
      <w:lvlJc w:val="left"/>
      <w:pPr>
        <w:ind w:left="1440" w:hanging="360"/>
      </w:pPr>
      <w:rPr/>
    </w:lvl>
    <w:lvl w:ilvl="3">
      <w:start w:val="1"/>
      <w:numFmt w:val="decimal"/>
      <w:lvlText w:val="%4."/>
      <w:lvlJc w:val="left"/>
      <w:pPr>
        <w:ind w:left="1800" w:hanging="360"/>
      </w:pPr>
      <w:rPr/>
    </w:lvl>
    <w:lvl w:ilvl="4">
      <w:start w:val="1"/>
      <w:numFmt w:val="decimal"/>
      <w:lvlText w:val="%5."/>
      <w:lvlJc w:val="left"/>
      <w:pPr>
        <w:ind w:left="2160" w:hanging="360"/>
      </w:pPr>
      <w:rPr/>
    </w:lvl>
    <w:lvl w:ilvl="5">
      <w:start w:val="1"/>
      <w:numFmt w:val="decimal"/>
      <w:lvlText w:val="%6."/>
      <w:lvlJc w:val="left"/>
      <w:pPr>
        <w:ind w:left="2520" w:hanging="360"/>
      </w:pPr>
      <w:rPr/>
    </w:lvl>
    <w:lvl w:ilvl="6">
      <w:start w:val="1"/>
      <w:numFmt w:val="decimal"/>
      <w:lvlText w:val="%7."/>
      <w:lvlJc w:val="left"/>
      <w:pPr>
        <w:ind w:left="2880" w:hanging="360"/>
      </w:pPr>
      <w:rPr/>
    </w:lvl>
    <w:lvl w:ilvl="7">
      <w:start w:val="1"/>
      <w:numFmt w:val="decimal"/>
      <w:lvlText w:val="%8."/>
      <w:lvlJc w:val="left"/>
      <w:pPr>
        <w:ind w:left="3240" w:hanging="360"/>
      </w:pPr>
      <w:rPr/>
    </w:lvl>
    <w:lvl w:ilvl="8">
      <w:start w:val="1"/>
      <w:numFmt w:val="decimal"/>
      <w:lvlText w:val="%9."/>
      <w:lvlJc w:val="left"/>
      <w:pPr>
        <w:ind w:left="3600" w:hanging="360"/>
      </w:pPr>
      <w:rPr/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iberation Serif" w:cs="Liberation Serif" w:eastAsia="Liberation Serif" w:hAnsi="Liberation Serif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before="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="Calibri" w:cs="" w:eastAsia="ＭＳ ゴシック" w:hAnsi="Calibri"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="Calibri" w:cs="" w:eastAsia="ＭＳ ゴシック" w:hAnsi="Calibri"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="Calibri" w:cs="" w:eastAsia="ＭＳ ゴシック" w:hAnsi="Calibri"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 w:val="1"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 w:val="1"/>
    <w:rsid w:val="00E618BF"/>
    <w:rPr/>
  </w:style>
  <w:style w:type="character" w:styleId="DefaultParagraphFont" w:default="1">
    <w:name w:val="Default Paragraph Font"/>
    <w:uiPriority w:val="1"/>
    <w:semiHidden w:val="1"/>
    <w:unhideWhenUsed w:val="1"/>
    <w:qFormat w:val="1"/>
    <w:rPr/>
  </w:style>
  <w:style w:type="character" w:styleId="Heading1Char" w:customStyle="1">
    <w:name w:val="Heading 1 Char"/>
    <w:basedOn w:val="DefaultParagraphFont"/>
    <w:link w:val="Heading1"/>
    <w:uiPriority w:val="9"/>
    <w:qFormat w:val="1"/>
    <w:rsid w:val="00FC693F"/>
    <w:rPr>
      <w:rFonts w:ascii="Calibri" w:cs="" w:eastAsia="ＭＳ ゴシック" w:hAnsi="Calibri"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 w:val="1"/>
    <w:rsid w:val="00FC693F"/>
    <w:rPr>
      <w:rFonts w:ascii="Calibri" w:cs="" w:eastAsia="ＭＳ ゴシック" w:hAnsi="Calibri"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 w:val="1"/>
    <w:rsid w:val="00FC693F"/>
    <w:rPr>
      <w:rFonts w:ascii="Calibri" w:cs="" w:eastAsia="ＭＳ ゴシック" w:hAnsi="Calibri"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qFormat w:val="1"/>
    <w:rsid w:val="00FC693F"/>
    <w:rPr>
      <w:rFonts w:ascii="Calibri" w:cs="" w:eastAsia="ＭＳ ゴシック" w:hAnsi="Calibri" w:asciiTheme="majorHAnsi" w:cstheme="majorBidi" w:eastAsiaTheme="majorEastAsia" w:hAnsiTheme="majorHAnsi"/>
      <w:color w:val="17365d" w:themeColor="text2" w:themeShade="0000BF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 w:val="1"/>
    <w:rsid w:val="00FC693F"/>
    <w:rPr>
      <w:rFonts w:ascii="Calibri" w:cs="" w:eastAsia="ＭＳ ゴシック" w:hAnsi="Calibri"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 w:val="1"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 w:val="1"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 w:val="1"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 w:val="1"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 w:val="1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qFormat w:val="1"/>
    <w:rsid w:val="00FC693F"/>
    <w:rPr>
      <w:rFonts w:ascii="Calibri" w:cs="" w:eastAsia="ＭＳ ゴシック" w:hAnsi="Calibri"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qFormat w:val="1"/>
    <w:rsid w:val="00FC693F"/>
    <w:rPr>
      <w:rFonts w:ascii="Calibri" w:cs="" w:eastAsia="ＭＳ ゴシック" w:hAnsi="Calibri"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qFormat w:val="1"/>
    <w:rsid w:val="00FC693F"/>
    <w:rPr>
      <w:rFonts w:ascii="Calibri" w:cs="" w:eastAsia="ＭＳ ゴシック" w:hAnsi="Calibri"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qFormat w:val="1"/>
    <w:rsid w:val="00FC693F"/>
    <w:rPr>
      <w:rFonts w:ascii="Calibri" w:cs="" w:eastAsia="ＭＳ ゴシック" w:hAnsi="Calibri"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qFormat w:val="1"/>
    <w:rsid w:val="00FC693F"/>
    <w:rPr>
      <w:rFonts w:ascii="Calibri" w:cs="" w:eastAsia="ＭＳ ゴシック" w:hAnsi="Calibri"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qFormat w:val="1"/>
    <w:rsid w:val="00FC693F"/>
    <w:rPr>
      <w:rFonts w:ascii="Calibri" w:cs="" w:eastAsia="ＭＳ ゴシック" w:hAnsi="Calibri"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character" w:styleId="IntenseQuoteChar" w:customStyle="1">
    <w:name w:val="Intense Quote Char"/>
    <w:basedOn w:val="DefaultParagraphFont"/>
    <w:link w:val="IntenseQuote"/>
    <w:uiPriority w:val="30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Heading">
    <w:name w:val="Heading"/>
    <w:basedOn w:val="Normal"/>
    <w:next w:val="BodyText"/>
    <w:qFormat w:val="1"/>
    <w:pPr>
      <w:keepNext w:val="1"/>
      <w:spacing w:after="120" w:before="240"/>
    </w:pPr>
    <w:rPr>
      <w:rFonts w:ascii="Liberation Sans" w:cs="Liberation Sans" w:eastAsia="Noto Sans CJK SC" w:hAnsi="Liberation 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 w:before="0"/>
    </w:pPr>
    <w:rPr/>
  </w:style>
  <w:style w:type="paragraph" w:styleId="List">
    <w:name w:val="List"/>
    <w:basedOn w:val="Normal"/>
    <w:uiPriority w:val="99"/>
    <w:unhideWhenUsed w:val="1"/>
    <w:rsid w:val="00AA1D8D"/>
    <w:pPr>
      <w:spacing w:after="200" w:before="0"/>
      <w:ind w:start="360" w:hanging="360"/>
      <w:contextualSpacing w:val="1"/>
    </w:pPr>
    <w:rPr/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paragraph" w:styleId="Index">
    <w:name w:val="Index"/>
    <w:basedOn w:val="Normal"/>
    <w:qFormat w:val="1"/>
    <w:pPr>
      <w:suppressLineNumbers w:val="1"/>
    </w:pPr>
    <w:rPr>
      <w:rFonts w:cs="Liberation Sans"/>
    </w:rPr>
  </w:style>
  <w:style w:type="paragraph" w:styleId="HeaderandFooter">
    <w:name w:val="Header and Footer"/>
    <w:basedOn w:val="Normal"/>
    <w:qFormat w:val="1"/>
    <w:pPr/>
    <w:rPr/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lear" w:pos="720"/>
        <w:tab w:val="center" w:leader="none" w:pos="4680"/>
        <w:tab w:val="right" w:leader="none" w:pos="9360"/>
      </w:tabs>
      <w:spacing w:after="0" w:before="0" w:line="240" w:lineRule="auto"/>
    </w:pPr>
    <w:rPr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lear" w:pos="720"/>
        <w:tab w:val="center" w:leader="none" w:pos="4680"/>
        <w:tab w:val="right" w:leader="none" w:pos="9360"/>
      </w:tabs>
      <w:spacing w:after="0" w:before="0" w:line="240" w:lineRule="auto"/>
    </w:pPr>
    <w:rPr/>
  </w:style>
  <w:style w:type="paragraph" w:styleId="NoSpacing">
    <w:name w:val="No Spacing"/>
    <w:uiPriority w:val="1"/>
    <w:qFormat w:val="1"/>
    <w:rsid w:val="00FC693F"/>
    <w:pPr>
      <w:widowControl w:val="1"/>
      <w:bidi w:val="0"/>
      <w:spacing w:after="0" w:before="0" w:line="240" w:lineRule="auto"/>
      <w:jc/>
    </w:pPr>
    <w:rPr>
      <w:rFonts w:ascii="Cambria" w:cs="" w:eastAsia="ＭＳ 明朝" w:hAnsi="Cambria" w:asciiTheme="minorHAnsi" w:cstheme="minorBidi" w:eastAsiaTheme="minorEastAsia" w:hAnsiTheme="minorHAnsi"/>
      <w:color w:val="auto"/>
      <w:kern w:val="0"/>
      <w:sz w:val="22"/>
      <w:szCs w:val="22"/>
      <w:lang w:bidi="ar-SA" w:eastAsia="en-US" w:val="en-US"/>
    </w:rPr>
  </w:style>
  <w:style w:type="paragraph" w:styleId="ListParagraph">
    <w:name w:val="List Paragraph"/>
    <w:basedOn w:val="Normal"/>
    <w:uiPriority w:val="34"/>
    <w:qFormat w:val="1"/>
    <w:rsid w:val="00FC693F"/>
    <w:pPr>
      <w:spacing w:after="200" w:before="0"/>
      <w:ind w:start="720"/>
      <w:contextualSpacing w:val="1"/>
    </w:pPr>
    <w:rPr/>
  </w:style>
  <w:style w:type="paragraph" w:styleId="BodyText2">
    <w:name w:val="Body Text 2"/>
    <w:basedOn w:val="Normal"/>
    <w:link w:val="BodyText2Char"/>
    <w:uiPriority w:val="99"/>
    <w:unhideWhenUsed w:val="1"/>
    <w:qFormat w:val="1"/>
    <w:rsid w:val="00AA1D8D"/>
    <w:pPr>
      <w:spacing w:after="120" w:before="0" w:line="480" w:lineRule="auto"/>
    </w:pPr>
    <w:rPr/>
  </w:style>
  <w:style w:type="paragraph" w:styleId="BodyText3">
    <w:name w:val="Body Text 3"/>
    <w:basedOn w:val="Normal"/>
    <w:link w:val="BodyText3Char"/>
    <w:uiPriority w:val="99"/>
    <w:unhideWhenUsed w:val="1"/>
    <w:qFormat w:val="1"/>
    <w:rsid w:val="00AA1D8D"/>
    <w:pPr>
      <w:spacing w:after="120" w:before="0"/>
    </w:pPr>
    <w:rPr>
      <w:sz w:val="16"/>
      <w:szCs w:val="16"/>
    </w:rPr>
  </w:style>
  <w:style w:type="paragraph" w:styleId="List2">
    <w:name w:val="List 2"/>
    <w:basedOn w:val="Normal"/>
    <w:uiPriority w:val="99"/>
    <w:unhideWhenUsed w:val="1"/>
    <w:qFormat w:val="1"/>
    <w:rsid w:val="00326F90"/>
    <w:pPr>
      <w:spacing w:after="200" w:before="0"/>
      <w:ind w:start="720" w:hanging="360"/>
      <w:contextualSpacing w:val="1"/>
    </w:pPr>
    <w:rPr/>
  </w:style>
  <w:style w:type="paragraph" w:styleId="List3">
    <w:name w:val="List 3"/>
    <w:basedOn w:val="Normal"/>
    <w:uiPriority w:val="99"/>
    <w:unhideWhenUsed w:val="1"/>
    <w:qFormat w:val="1"/>
    <w:rsid w:val="00326F90"/>
    <w:pPr>
      <w:spacing w:after="200" w:before="0"/>
      <w:ind w:start="1080" w:hanging="360"/>
      <w:contextualSpacing w:val="1"/>
    </w:pPr>
    <w:rPr/>
  </w:style>
  <w:style w:type="paragraph" w:styleId="ListBullet">
    <w:name w:val="List Bullet"/>
    <w:basedOn w:val="Normal"/>
    <w:uiPriority w:val="99"/>
    <w:unhideWhenUsed w:val="1"/>
    <w:rsid w:val="00326F90"/>
    <w:pPr>
      <w:numPr>
        <w:ilvl w:val="0"/>
        <w:numId w:val="1"/>
      </w:numPr>
      <w:spacing w:after="200" w:before="0"/>
      <w:contextualSpacing w:val="1"/>
    </w:pPr>
    <w:rPr/>
  </w:style>
  <w:style w:type="paragraph" w:styleId="ListBullet2">
    <w:name w:val="List Bullet 2"/>
    <w:basedOn w:val="Normal"/>
    <w:uiPriority w:val="99"/>
    <w:unhideWhenUsed w:val="1"/>
    <w:rsid w:val="00326F90"/>
    <w:pPr>
      <w:numPr>
        <w:ilvl w:val="0"/>
        <w:numId w:val="2"/>
      </w:numPr>
      <w:spacing w:after="200" w:before="0"/>
      <w:contextualSpacing w:val="1"/>
    </w:pPr>
    <w:rPr/>
  </w:style>
  <w:style w:type="paragraph" w:styleId="ListBullet3">
    <w:name w:val="List Bullet 3"/>
    <w:basedOn w:val="Normal"/>
    <w:uiPriority w:val="99"/>
    <w:unhideWhenUsed w:val="1"/>
    <w:rsid w:val="00326F90"/>
    <w:pPr>
      <w:numPr>
        <w:ilvl w:val="0"/>
        <w:numId w:val="3"/>
      </w:numPr>
      <w:spacing w:after="200" w:before="0"/>
      <w:contextualSpacing w:val="1"/>
    </w:pPr>
    <w:rPr/>
  </w:style>
  <w:style w:type="paragraph" w:styleId="ListNumber">
    <w:name w:val="List Number"/>
    <w:basedOn w:val="Normal"/>
    <w:uiPriority w:val="99"/>
    <w:unhideWhenUsed w:val="1"/>
    <w:rsid w:val="00326F90"/>
    <w:pPr>
      <w:numPr>
        <w:ilvl w:val="0"/>
        <w:numId w:val="4"/>
      </w:numPr>
      <w:spacing w:after="200" w:before="0"/>
      <w:contextualSpacing w:val="1"/>
    </w:pPr>
    <w:rPr/>
  </w:style>
  <w:style w:type="paragraph" w:styleId="ListNumber2">
    <w:name w:val="List Number 2"/>
    <w:basedOn w:val="Normal"/>
    <w:uiPriority w:val="99"/>
    <w:unhideWhenUsed w:val="1"/>
    <w:rsid w:val="0029639D"/>
    <w:pPr>
      <w:numPr>
        <w:ilvl w:val="0"/>
        <w:numId w:val="5"/>
      </w:numPr>
      <w:spacing w:after="200" w:before="0"/>
      <w:contextualSpacing w:val="1"/>
    </w:pPr>
    <w:rPr/>
  </w:style>
  <w:style w:type="paragraph" w:styleId="ListNumber3">
    <w:name w:val="List Number 3"/>
    <w:basedOn w:val="Normal"/>
    <w:uiPriority w:val="99"/>
    <w:unhideWhenUsed w:val="1"/>
    <w:rsid w:val="0029639D"/>
    <w:pPr>
      <w:numPr>
        <w:ilvl w:val="0"/>
        <w:numId w:val="6"/>
      </w:numPr>
      <w:spacing w:after="200" w:before="0"/>
      <w:contextualSpacing w:val="1"/>
    </w:pPr>
    <w:rPr/>
  </w:style>
  <w:style w:type="paragraph" w:styleId="ListContinue">
    <w:name w:val="List Continue"/>
    <w:basedOn w:val="Normal"/>
    <w:uiPriority w:val="99"/>
    <w:unhideWhenUsed w:val="1"/>
    <w:rsid w:val="0029639D"/>
    <w:pPr>
      <w:spacing w:after="120" w:before="0"/>
      <w:ind w:start="360"/>
      <w:contextualSpacing w:val="1"/>
    </w:pPr>
    <w:rPr/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 w:before="0"/>
      <w:ind w:start="720"/>
      <w:contextualSpacing w:val="1"/>
    </w:pPr>
    <w:rPr/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 w:before="0"/>
      <w:ind w:start="1080"/>
      <w:contextualSpacing w:val="1"/>
    </w:pPr>
    <w:rPr/>
  </w:style>
  <w:style w:type="paragraph" w:styleId="MacroText">
    <w:name w:val="macro"/>
    <w:link w:val="MacroTextChar"/>
    <w:uiPriority w:val="99"/>
    <w:unhideWhenUsed w:val="1"/>
    <w:qFormat w:val="1"/>
    <w:rsid w:val="0029639D"/>
    <w:pPr>
      <w:widowControl w:val="1"/>
      <w:tabs>
        <w:tab w:val="clear" w:pos="720"/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bidi w:val="0"/>
      <w:spacing w:after="200" w:before="0" w:line="276" w:lineRule="auto"/>
      <w:jc/>
    </w:pPr>
    <w:rPr>
      <w:rFonts w:ascii="Courier" w:cs="" w:eastAsia="ＭＳ 明朝" w:hAnsi="Courier" w:cstheme="minorBidi" w:eastAsiaTheme="minorEastAsia"/>
      <w:color w:val="auto"/>
      <w:kern w:val="0"/>
      <w:sz w:val="20"/>
      <w:szCs w:val="20"/>
      <w:lang w:bidi="ar-SA" w:eastAsia="en-US" w:val="en-US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pPr/>
    <w:rPr>
      <w:i w:val="1"/>
      <w:iCs w:val="1"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start="936" w:end="936"/>
    </w:pPr>
    <w:rPr>
      <w:b w:val="1"/>
      <w:bCs w:val="1"/>
      <w:i w:val="1"/>
      <w:iCs w:val="1"/>
      <w:color w:val="4f81bd" w:themeColor="accent1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  <w:rPr/>
  </w:style>
  <w:style w:type="numbering" w:styleId="NoList" w:default="1">
    <w:name w:val="No List"/>
    <w:uiPriority w:val="99"/>
    <w:semiHidden w:val="1"/>
    <w:unhideWhenUsed w:val="1"/>
    <w:qFormat w:val="1"/>
  </w:style>
  <w:style w:type="table" w:styleId="TableNormal" w:default="1">
    <w:name w:val="Normal Table"/>
    <w:uiPriority w:val="99"/>
    <w:semiHidden w:val="1"/>
    <w:unhideWhenUsed w:val="1"/>
    <w:tblPr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  <w:tblPr/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  <w:tblPr/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  <w:tblPr/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  <w:tblPr/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  <w:tblPr/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  <w:tblPr/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  <w:tblPr/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val="single"/>
          <w:left w:color="404040" w:space="0" w:sz="8" w:themeColor="text1" w:val="single"/>
          <w:bottom w:color="404040" w:space="0" w:sz="8" w:themeColor="text1" w:val="single"/>
          <w:right w:color="404040" w:space="0" w:sz="8" w:themeColor="text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val="double"/>
          <w:left w:color="404040" w:space="0" w:sz="8" w:themeColor="text1" w:val="single"/>
          <w:bottom w:color="404040" w:space="0" w:sz="8" w:themeColor="text1" w:val="single"/>
          <w:right w:color="404040" w:space="0" w:sz="8" w:themeColor="text1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val="single"/>
          <w:left w:color="7ba0cd" w:space="0" w:sz="8" w:themeColor="accent1" w:val="single"/>
          <w:bottom w:color="7ba0cd" w:space="0" w:sz="8" w:themeColor="accent1" w:val="single"/>
          <w:right w:color="7ba0cd" w:space="0" w:sz="8" w:themeColor="accent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val="double"/>
          <w:left w:color="7ba0cd" w:space="0" w:sz="8" w:themeColor="accent1" w:val="single"/>
          <w:bottom w:color="7ba0cd" w:space="0" w:sz="8" w:themeColor="accent1" w:val="single"/>
          <w:right w:color="7ba0cd" w:space="0" w:sz="8" w:themeColor="accent1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val="single"/>
          <w:left w:color="cf7b79" w:space="0" w:sz="8" w:themeColor="accent2" w:val="single"/>
          <w:bottom w:color="cf7b79" w:space="0" w:sz="8" w:themeColor="accent2" w:val="single"/>
          <w:right w:color="cf7b79" w:space="0" w:sz="8" w:themeColor="accent2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val="double"/>
          <w:left w:color="cf7b79" w:space="0" w:sz="8" w:themeColor="accent2" w:val="single"/>
          <w:bottom w:color="cf7b79" w:space="0" w:sz="8" w:themeColor="accent2" w:val="single"/>
          <w:right w:color="cf7b79" w:space="0" w:sz="8" w:themeColor="accent2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val="single"/>
          <w:left w:color="b3cc82" w:space="0" w:sz="8" w:themeColor="accent3" w:val="single"/>
          <w:bottom w:color="b3cc82" w:space="0" w:sz="8" w:themeColor="accent3" w:val="single"/>
          <w:right w:color="b3cc82" w:space="0" w:sz="8" w:themeColor="accent3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val="double"/>
          <w:left w:color="b3cc82" w:space="0" w:sz="8" w:themeColor="accent3" w:val="single"/>
          <w:bottom w:color="b3cc82" w:space="0" w:sz="8" w:themeColor="accent3" w:val="single"/>
          <w:right w:color="b3cc82" w:space="0" w:sz="8" w:themeColor="accent3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val="single"/>
          <w:left w:color="9f8ab9" w:space="0" w:sz="8" w:themeColor="accent4" w:val="single"/>
          <w:bottom w:color="9f8ab9" w:space="0" w:sz="8" w:themeColor="accent4" w:val="single"/>
          <w:right w:color="9f8ab9" w:space="0" w:sz="8" w:themeColor="accent4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val="double"/>
          <w:left w:color="9f8ab9" w:space="0" w:sz="8" w:themeColor="accent4" w:val="single"/>
          <w:bottom w:color="9f8ab9" w:space="0" w:sz="8" w:themeColor="accent4" w:val="single"/>
          <w:right w:color="9f8ab9" w:space="0" w:sz="8" w:themeColor="accent4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val="single"/>
          <w:left w:color="78c0d4" w:space="0" w:sz="8" w:themeColor="accent5" w:val="single"/>
          <w:bottom w:color="78c0d4" w:space="0" w:sz="8" w:themeColor="accent5" w:val="single"/>
          <w:right w:color="78c0d4" w:space="0" w:sz="8" w:themeColor="accent5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val="double"/>
          <w:left w:color="78c0d4" w:space="0" w:sz="8" w:themeColor="accent5" w:val="single"/>
          <w:bottom w:color="78c0d4" w:space="0" w:sz="8" w:themeColor="accent5" w:val="single"/>
          <w:right w:color="78c0d4" w:space="0" w:sz="8" w:themeColor="accent5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val="single"/>
          <w:left w:color="f9b074" w:space="0" w:sz="8" w:themeColor="accent6" w:val="single"/>
          <w:bottom w:color="f9b074" w:space="0" w:sz="8" w:themeColor="accent6" w:val="single"/>
          <w:right w:color="f9b074" w:space="0" w:sz="8" w:themeColor="accent6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val="double"/>
          <w:left w:color="f9b074" w:space="0" w:sz="8" w:themeColor="accent6" w:val="single"/>
          <w:bottom w:color="f9b074" w:space="0" w:sz="8" w:themeColor="accent6" w:val="single"/>
          <w:right w:color="f9b074" w:space="0" w:sz="8" w:themeColor="accent6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/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/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/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/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/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/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/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  <w:tblPr/>
    </w:tblStylePr>
    <w:tblStylePr w:type="lastRow">
      <w:rPr>
        <w:b w:val="1"/>
        <w:bCs w:val="1"/>
      </w:rPr>
      <w:tblPr/>
      <w:tcPr>
        <w:tcBorders>
          <w:top w:color="404040" w:space="0" w:sz="18" w:themeColor="text1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  <w:tblPr/>
    </w:tblStylePr>
    <w:tblStylePr w:type="lastRow">
      <w:rPr>
        <w:b w:val="1"/>
        <w:bCs w:val="1"/>
      </w:rPr>
      <w:tblPr/>
      <w:tcPr>
        <w:tcBorders>
          <w:top w:color="7ba0cd" w:space="0" w:sz="18" w:themeColor="accent1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  <w:tblPr/>
    </w:tblStylePr>
    <w:tblStylePr w:type="lastRow">
      <w:rPr>
        <w:b w:val="1"/>
        <w:bCs w:val="1"/>
      </w:rPr>
      <w:tblPr/>
      <w:tcPr>
        <w:tcBorders>
          <w:top w:color="cf7b79" w:space="0" w:sz="18" w:themeColor="accent2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  <w:tblPr/>
    </w:tblStylePr>
    <w:tblStylePr w:type="lastRow">
      <w:rPr>
        <w:b w:val="1"/>
        <w:bCs w:val="1"/>
      </w:rPr>
      <w:tblPr/>
      <w:tcPr>
        <w:tcBorders>
          <w:top w:color="b3cc82" w:space="0" w:sz="18" w:themeColor="accent3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  <w:tblPr/>
    </w:tblStylePr>
    <w:tblStylePr w:type="lastRow">
      <w:rPr>
        <w:b w:val="1"/>
        <w:bCs w:val="1"/>
      </w:rPr>
      <w:tblPr/>
      <w:tcPr>
        <w:tcBorders>
          <w:top w:color="9f8ab9" w:space="0" w:sz="18" w:themeColor="accent4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  <w:tblPr/>
    </w:tblStylePr>
    <w:tblStylePr w:type="lastRow">
      <w:rPr>
        <w:b w:val="1"/>
        <w:bCs w:val="1"/>
      </w:rPr>
      <w:tblPr/>
      <w:tcPr>
        <w:tcBorders>
          <w:top w:color="78c0d4" w:space="0" w:sz="18" w:themeColor="accent5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  <w:tblPr/>
    </w:tblStylePr>
    <w:tblStylePr w:type="lastRow">
      <w:rPr>
        <w:b w:val="1"/>
        <w:bCs w:val="1"/>
      </w:rPr>
      <w:tblPr/>
      <w:tcPr>
        <w:tcBorders>
          <w:top w:color="f9b074" w:space="0" w:sz="18" w:themeColor="accent6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eader" Target="header1.xml"/><Relationship Id="rId10" Type="http://schemas.openxmlformats.org/officeDocument/2006/relationships/image" Target="media/image4.png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M0B2zu7FAWJP4Pv4nR0i4+3sLLQ==">CgMxLjA4AHIhMWhDS0t6aG13bENpOVFlT19Yc3hzOHY2Z2VSN20xRmk2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