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2"/>
        </w:rPr>
        <w:t>VAPT Cloud Scanner</w:t>
      </w:r>
    </w:p>
    <w:p>
      <w:pPr>
        <w:jc w:val="center"/>
      </w:pPr>
      <w:r>
        <w:rPr>
          <w:color w:val="595959"/>
          <w:sz w:val="26"/>
        </w:rPr>
        <w:t>Application Architecture</w:t>
      </w:r>
    </w:p>
    <w:p>
      <w:pPr>
        <w:jc w:val="center"/>
      </w:pPr>
      <w:r>
        <w:rPr>
          <w:color w:val="595959"/>
          <w:sz w:val="22"/>
        </w:rPr>
        <w:t>Complete architecture reference — components, data flow, tech stack, network &amp; security model</w:t>
      </w:r>
    </w:p>
    <w:p/>
    <w:p>
      <w:r>
        <w:br w:type="page"/>
      </w:r>
    </w:p>
    <w:p>
      <w:pPr>
        <w:pStyle w:val="Heading1"/>
      </w:pPr>
      <w:r>
        <w:rPr>
          <w:color w:val="1F2A44"/>
        </w:rPr>
        <w:t>Contents</w:t>
      </w:r>
    </w:p>
    <w:p>
      <w:pPr>
        <w:pStyle w:val="ListBullet"/>
      </w:pPr>
      <w:r>
        <w:t>1. System Overview</w:t>
      </w:r>
    </w:p>
    <w:p>
      <w:pPr>
        <w:pStyle w:val="ListBullet"/>
      </w:pPr>
      <w:r>
        <w:t>2. Component Inventory</w:t>
      </w:r>
    </w:p>
    <w:p>
      <w:pPr>
        <w:pStyle w:val="ListBullet"/>
      </w:pPr>
      <w:r>
        <w:t>3. Technology Stack</w:t>
      </w:r>
    </w:p>
    <w:p>
      <w:pPr>
        <w:pStyle w:val="ListBullet"/>
      </w:pPr>
      <w:r>
        <w:t>4. Deployment Topology (Container Diagram, in prose)</w:t>
      </w:r>
    </w:p>
    <w:p>
      <w:pPr>
        <w:pStyle w:val="ListBullet"/>
      </w:pPr>
      <w:r>
        <w:t>5. Request Routing (nginx)</w:t>
      </w:r>
    </w:p>
    <w:p>
      <w:pPr>
        <w:pStyle w:val="ListBullet"/>
      </w:pPr>
      <w:r>
        <w:t>6. Data Architecture</w:t>
      </w:r>
    </w:p>
    <w:p>
      <w:pPr>
        <w:pStyle w:val="ListBullet"/>
      </w:pPr>
      <w:r>
        <w:t>7. Authentication &amp; Authorization Flow</w:t>
      </w:r>
    </w:p>
    <w:p>
      <w:pPr>
        <w:pStyle w:val="ListBullet"/>
      </w:pPr>
      <w:r>
        <w:t>8. Application Flow — Cloud Security (CSPM) Scan</w:t>
      </w:r>
    </w:p>
    <w:p>
      <w:pPr>
        <w:pStyle w:val="ListBullet"/>
      </w:pPr>
      <w:r>
        <w:t>9. Application Flow — Application Security (ASPM) Pipeline</w:t>
      </w:r>
    </w:p>
    <w:p>
      <w:pPr>
        <w:pStyle w:val="ListBullet"/>
      </w:pPr>
      <w:r>
        <w:t>10. AI/LLM Integration Architecture</w:t>
      </w:r>
    </w:p>
    <w:p>
      <w:pPr>
        <w:pStyle w:val="ListBullet"/>
      </w:pPr>
      <w:r>
        <w:t>11. Network &amp; Security Model</w:t>
      </w:r>
    </w:p>
    <w:p>
      <w:pPr>
        <w:pStyle w:val="ListBullet"/>
      </w:pPr>
      <w:r>
        <w:t>12. Resilience — Health Checks, Backups, Alerting</w:t>
      </w:r>
    </w:p>
    <w:p>
      <w:pPr>
        <w:pStyle w:val="ListBullet"/>
      </w:pPr>
      <w:r>
        <w:t>13. Known Architectural Limitations</w:t>
      </w:r>
    </w:p>
    <w:p>
      <w:r>
        <w:br w:type="page"/>
      </w:r>
    </w:p>
    <w:p>
      <w:pPr>
        <w:pStyle w:val="Heading1"/>
      </w:pPr>
      <w:r>
        <w:rPr>
          <w:color w:val="1F2A44"/>
        </w:rPr>
        <w:t>1. System Overview</w:t>
      </w:r>
    </w:p>
    <w:p>
      <w:r>
        <w:rPr>
          <w:b w:val="0"/>
          <w:i w:val="0"/>
        </w:rPr>
        <w:t>VAPT Cloud Scanner is a merged security platform combining two products behind one gateway, one login, and one database: CSPM (Cloud Security Posture Management, covering AWS/Azure/GCP) and ASPM (Application Security Posture Management / VAPT, covering source-code and web-application scanning). A third service, agent-api, provides the AI triage/remediation capability that ASPM's pipeline depends on.</w:t>
      </w:r>
    </w:p>
    <w:p>
      <w:r>
        <w:rPr>
          <w:b w:val="0"/>
          <w:i w:val="0"/>
        </w:rPr>
        <w:t>The whole system is a single Docker Compose stack of 7 containers — there is no externally-managed infrastructure required. Postgres, Redis, and an OWASP ZAP daemon are bundled in the same docker-compose.yml as the three application services and the nginx gateway, so `docker compose up -d --build` is the entire deployment for any environment.</w:t>
      </w:r>
    </w:p>
    <w:p>
      <w:r>
        <w:rPr>
          <w:b w:val="0"/>
          <w:i w:val="0"/>
        </w:rPr>
        <w:t>Architecturally, this is a modular monolith of services rather than a microservices mesh: three independently-deployable backend services (cspm-api, aspm-api, agent-api) share one Postgres database (in separate schemas) and are unified at two seams — a shared JWT authentication scheme, and a single nginx gateway that presents them all under one public URL and one React single-page application.</w:t>
      </w:r>
    </w:p>
    <w:p>
      <w:pPr>
        <w:pStyle w:val="Heading1"/>
      </w:pPr>
      <w:r>
        <w:rPr>
          <w:color w:val="1F2A44"/>
        </w:rPr>
        <w:t>2. Component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shd w:val="clear" w:color="auto" w:fill="305BAB"/>
          </w:tcPr>
          <w:p>
            <w:r>
              <w:rPr>
                <w:b/>
                <w:color w:val="FFFFFF"/>
              </w:rPr>
              <w:t>Container</w:t>
            </w:r>
          </w:p>
        </w:tc>
        <w:tc>
          <w:tcPr>
            <w:tcW w:type="dxa" w:w="2304"/>
            <w:shd w:val="clear" w:color="auto" w:fill="305BAB"/>
          </w:tcPr>
          <w:p>
            <w:r>
              <w:rPr>
                <w:b/>
                <w:color w:val="FFFFFF"/>
              </w:rPr>
              <w:t>Runtime</w:t>
            </w:r>
          </w:p>
        </w:tc>
        <w:tc>
          <w:tcPr>
            <w:tcW w:type="dxa" w:w="1872"/>
            <w:shd w:val="clear" w:color="auto" w:fill="305BAB"/>
          </w:tcPr>
          <w:p>
            <w:r>
              <w:rPr>
                <w:b/>
                <w:color w:val="FFFFFF"/>
              </w:rPr>
              <w:t>Port</w:t>
            </w:r>
          </w:p>
        </w:tc>
        <w:tc>
          <w:tcPr>
            <w:tcW w:type="dxa" w:w="3888"/>
            <w:shd w:val="clear" w:color="auto" w:fill="305BAB"/>
          </w:tcPr>
          <w:p>
            <w:r>
              <w:rPr>
                <w:b/>
                <w:color w:val="FFFFFF"/>
              </w:rPr>
              <w:t>Responsibility</w:t>
            </w:r>
          </w:p>
        </w:tc>
      </w:tr>
      <w:tr>
        <w:tc>
          <w:tcPr>
            <w:tcW w:type="dxa" w:w="1296"/>
          </w:tcPr>
          <w:p>
            <w:pPr>
              <w:spacing w:after="40"/>
            </w:pPr>
            <w:r>
              <w:rPr>
                <w:sz w:val="19"/>
              </w:rPr>
              <w:t>web</w:t>
            </w:r>
          </w:p>
        </w:tc>
        <w:tc>
          <w:tcPr>
            <w:tcW w:type="dxa" w:w="2304"/>
          </w:tcPr>
          <w:p>
            <w:pPr>
              <w:spacing w:after="40"/>
            </w:pPr>
            <w:r>
              <w:rPr>
                <w:sz w:val="19"/>
              </w:rPr>
              <w:t>nginx:1.27-alpine + built React SPA</w:t>
            </w:r>
          </w:p>
        </w:tc>
        <w:tc>
          <w:tcPr>
            <w:tcW w:type="dxa" w:w="1872"/>
          </w:tcPr>
          <w:p>
            <w:pPr>
              <w:spacing w:after="40"/>
            </w:pPr>
            <w:r>
              <w:rPr>
                <w:sz w:val="19"/>
              </w:rPr>
              <w:t>8080 (published)</w:t>
            </w:r>
          </w:p>
        </w:tc>
        <w:tc>
          <w:tcPr>
            <w:tcW w:type="dxa" w:w="3888"/>
          </w:tcPr>
          <w:p>
            <w:pPr>
              <w:spacing w:after="40"/>
            </w:pPr>
            <w:r>
              <w:rPr>
                <w:sz w:val="19"/>
              </w:rPr>
              <w:t>Serves the frontend static build; reverse-proxies API traffic to the three backends by path prefix; terminates nothing (plain HTTP — see Section 11 for TLS).</w:t>
            </w:r>
          </w:p>
        </w:tc>
      </w:tr>
      <w:tr>
        <w:tc>
          <w:tcPr>
            <w:tcW w:type="dxa" w:w="1296"/>
          </w:tcPr>
          <w:p>
            <w:pPr>
              <w:spacing w:after="40"/>
            </w:pPr>
            <w:r>
              <w:rPr>
                <w:sz w:val="19"/>
              </w:rPr>
              <w:t>cspm-api</w:t>
            </w:r>
          </w:p>
        </w:tc>
        <w:tc>
          <w:tcPr>
            <w:tcW w:type="dxa" w:w="2304"/>
          </w:tcPr>
          <w:p>
            <w:pPr>
              <w:spacing w:after="40"/>
            </w:pPr>
            <w:r>
              <w:rPr>
                <w:sz w:val="19"/>
              </w:rPr>
              <w:t>Node 20 / Express / Prisma</w:t>
            </w:r>
          </w:p>
        </w:tc>
        <w:tc>
          <w:tcPr>
            <w:tcW w:type="dxa" w:w="1872"/>
          </w:tcPr>
          <w:p>
            <w:pPr>
              <w:spacing w:after="40"/>
            </w:pPr>
            <w:r>
              <w:rPr>
                <w:sz w:val="19"/>
              </w:rPr>
              <w:t>3001 (published for local dev only)</w:t>
            </w:r>
          </w:p>
        </w:tc>
        <w:tc>
          <w:tcPr>
            <w:tcW w:type="dxa" w:w="3888"/>
          </w:tcPr>
          <w:p>
            <w:pPr>
              <w:spacing w:after="40"/>
            </w:pPr>
            <w:r>
              <w:rPr>
                <w:sz w:val="19"/>
              </w:rPr>
              <w:t>Cloud Security backend. Owns the cspm Postgres schema. Runs BullMQ workers for scanning, drift detection, posture scoring, and scheduled reports.</w:t>
            </w:r>
          </w:p>
        </w:tc>
      </w:tr>
      <w:tr>
        <w:tc>
          <w:tcPr>
            <w:tcW w:type="dxa" w:w="1296"/>
          </w:tcPr>
          <w:p>
            <w:pPr>
              <w:spacing w:after="40"/>
            </w:pPr>
            <w:r>
              <w:rPr>
                <w:sz w:val="19"/>
              </w:rPr>
              <w:t>aspm-api</w:t>
            </w:r>
          </w:p>
        </w:tc>
        <w:tc>
          <w:tcPr>
            <w:tcW w:type="dxa" w:w="2304"/>
          </w:tcPr>
          <w:p>
            <w:pPr>
              <w:spacing w:after="40"/>
            </w:pPr>
            <w:r>
              <w:rPr>
                <w:sz w:val="19"/>
              </w:rPr>
              <w:t>Python 3.12 / FastAPI</w:t>
            </w:r>
          </w:p>
        </w:tc>
        <w:tc>
          <w:tcPr>
            <w:tcW w:type="dxa" w:w="1872"/>
          </w:tcPr>
          <w:p>
            <w:pPr>
              <w:spacing w:after="40"/>
            </w:pPr>
            <w:r>
              <w:rPr>
                <w:sz w:val="19"/>
              </w:rPr>
              <w:t>8000 (internal only)</w:t>
            </w:r>
          </w:p>
        </w:tc>
        <w:tc>
          <w:tcPr>
            <w:tcW w:type="dxa" w:w="3888"/>
          </w:tcPr>
          <w:p>
            <w:pPr>
              <w:spacing w:after="40"/>
            </w:pPr>
            <w:r>
              <w:rPr>
                <w:sz w:val="19"/>
              </w:rPr>
              <w:t>Application Security backend. Owns the aspm Postgres schema. Bundles real scanner binaries (Semgrep, GitLeaks, Trivy, nuclei, nmap, sqlmap, hydra, gobuster, nikto, sslscan, trufflehog) inside its own image.</w:t>
            </w:r>
          </w:p>
        </w:tc>
      </w:tr>
      <w:tr>
        <w:tc>
          <w:tcPr>
            <w:tcW w:type="dxa" w:w="1296"/>
          </w:tcPr>
          <w:p>
            <w:pPr>
              <w:spacing w:after="40"/>
            </w:pPr>
            <w:r>
              <w:rPr>
                <w:sz w:val="19"/>
              </w:rPr>
              <w:t>agent-api</w:t>
            </w:r>
          </w:p>
        </w:tc>
        <w:tc>
          <w:tcPr>
            <w:tcW w:type="dxa" w:w="2304"/>
          </w:tcPr>
          <w:p>
            <w:pPr>
              <w:spacing w:after="40"/>
            </w:pPr>
            <w:r>
              <w:rPr>
                <w:sz w:val="19"/>
              </w:rPr>
              <w:t>Python 3.12 / FastAPI / LangGraph</w:t>
            </w:r>
          </w:p>
        </w:tc>
        <w:tc>
          <w:tcPr>
            <w:tcW w:type="dxa" w:w="1872"/>
          </w:tcPr>
          <w:p>
            <w:pPr>
              <w:spacing w:after="40"/>
            </w:pPr>
            <w:r>
              <w:rPr>
                <w:sz w:val="19"/>
              </w:rPr>
              <w:t>8100 (internal only)</w:t>
            </w:r>
          </w:p>
        </w:tc>
        <w:tc>
          <w:tcPr>
            <w:tcW w:type="dxa" w:w="3888"/>
          </w:tcPr>
          <w:p>
            <w:pPr>
              <w:spacing w:after="40"/>
            </w:pPr>
            <w:r>
              <w:rPr>
                <w:sz w:val="19"/>
              </w:rPr>
              <w:t>AI triage/remediation agent. Stateless — no database of its own; reads/writes via aspm-api's calls. Talks to whichever LLM provider is configured.</w:t>
            </w:r>
          </w:p>
        </w:tc>
      </w:tr>
      <w:tr>
        <w:tc>
          <w:tcPr>
            <w:tcW w:type="dxa" w:w="1296"/>
          </w:tcPr>
          <w:p>
            <w:pPr>
              <w:spacing w:after="40"/>
            </w:pPr>
            <w:r>
              <w:rPr>
                <w:sz w:val="19"/>
              </w:rPr>
              <w:t>postgres</w:t>
            </w:r>
          </w:p>
        </w:tc>
        <w:tc>
          <w:tcPr>
            <w:tcW w:type="dxa" w:w="2304"/>
          </w:tcPr>
          <w:p>
            <w:pPr>
              <w:spacing w:after="40"/>
            </w:pPr>
            <w:r>
              <w:rPr>
                <w:sz w:val="19"/>
              </w:rPr>
              <w:t>Postgres 16 (official image)</w:t>
            </w:r>
          </w:p>
        </w:tc>
        <w:tc>
          <w:tcPr>
            <w:tcW w:type="dxa" w:w="1872"/>
          </w:tcPr>
          <w:p>
            <w:pPr>
              <w:spacing w:after="40"/>
            </w:pPr>
            <w:r>
              <w:rPr>
                <w:sz w:val="19"/>
              </w:rPr>
              <w:t>5434 (published)</w:t>
            </w:r>
          </w:p>
        </w:tc>
        <w:tc>
          <w:tcPr>
            <w:tcW w:type="dxa" w:w="3888"/>
          </w:tcPr>
          <w:p>
            <w:pPr>
              <w:spacing w:after="40"/>
            </w:pPr>
            <w:r>
              <w:rPr>
                <w:sz w:val="19"/>
              </w:rPr>
              <w:t>Single database (vapt) with two schemas: cspm and aspm. Owns a named volume (postgres_data).</w:t>
            </w:r>
          </w:p>
        </w:tc>
      </w:tr>
      <w:tr>
        <w:tc>
          <w:tcPr>
            <w:tcW w:type="dxa" w:w="1296"/>
          </w:tcPr>
          <w:p>
            <w:pPr>
              <w:spacing w:after="40"/>
            </w:pPr>
            <w:r>
              <w:rPr>
                <w:sz w:val="19"/>
              </w:rPr>
              <w:t>redis</w:t>
            </w:r>
          </w:p>
        </w:tc>
        <w:tc>
          <w:tcPr>
            <w:tcW w:type="dxa" w:w="2304"/>
          </w:tcPr>
          <w:p>
            <w:pPr>
              <w:spacing w:after="40"/>
            </w:pPr>
            <w:r>
              <w:rPr>
                <w:sz w:val="19"/>
              </w:rPr>
              <w:t>Redis 7 (official image)</w:t>
            </w:r>
          </w:p>
        </w:tc>
        <w:tc>
          <w:tcPr>
            <w:tcW w:type="dxa" w:w="1872"/>
          </w:tcPr>
          <w:p>
            <w:pPr>
              <w:spacing w:after="40"/>
            </w:pPr>
            <w:r>
              <w:rPr>
                <w:sz w:val="19"/>
              </w:rPr>
              <w:t>6379 (published)</w:t>
            </w:r>
          </w:p>
        </w:tc>
        <w:tc>
          <w:tcPr>
            <w:tcW w:type="dxa" w:w="3888"/>
          </w:tcPr>
          <w:p>
            <w:pPr>
              <w:spacing w:after="40"/>
            </w:pPr>
            <w:r>
              <w:rPr>
                <w:sz w:val="19"/>
              </w:rPr>
              <w:t>Backs cspm-api's BullMQ job queues. Owns a named volume (redis_data).</w:t>
            </w:r>
          </w:p>
        </w:tc>
      </w:tr>
      <w:tr>
        <w:tc>
          <w:tcPr>
            <w:tcW w:type="dxa" w:w="1296"/>
          </w:tcPr>
          <w:p>
            <w:pPr>
              <w:spacing w:after="40"/>
            </w:pPr>
            <w:r>
              <w:rPr>
                <w:sz w:val="19"/>
              </w:rPr>
              <w:t>zap</w:t>
            </w:r>
          </w:p>
        </w:tc>
        <w:tc>
          <w:tcPr>
            <w:tcW w:type="dxa" w:w="2304"/>
          </w:tcPr>
          <w:p>
            <w:pPr>
              <w:spacing w:after="40"/>
            </w:pPr>
            <w:r>
              <w:rPr>
                <w:sz w:val="19"/>
              </w:rPr>
              <w:t>OWASP ZAP daemon (zaproxy/zap-stable)</w:t>
            </w:r>
          </w:p>
        </w:tc>
        <w:tc>
          <w:tcPr>
            <w:tcW w:type="dxa" w:w="1872"/>
          </w:tcPr>
          <w:p>
            <w:pPr>
              <w:spacing w:after="40"/>
            </w:pPr>
            <w:r>
              <w:rPr>
                <w:sz w:val="19"/>
              </w:rPr>
              <w:t>8090 (published)</w:t>
            </w:r>
          </w:p>
        </w:tc>
        <w:tc>
          <w:tcPr>
            <w:tcW w:type="dxa" w:w="3888"/>
          </w:tcPr>
          <w:p>
            <w:pPr>
              <w:spacing w:after="40"/>
            </w:pPr>
            <w:r>
              <w:rPr>
                <w:sz w:val="19"/>
              </w:rPr>
              <w:t>DAST scan engine, called by aspm-api. JVM heap capped at 1GB / container memory capped at 1.5GB to prevent it auto-sizing to a quarter of the host's total RAM.</w:t>
            </w:r>
          </w:p>
        </w:tc>
      </w:tr>
    </w:tbl>
    <w:p/>
    <w:p>
      <w:r>
        <w:rPr>
          <w:b w:val="0"/>
          <w:i w:val="0"/>
        </w:rPr>
        <w:t>Two supporting scripts run on the HOST, not as containers, and are not part of the Compose stack: infra/db/backup.sh / restore.sh (database backup, scheduled via cron) and infra/monitoring/watchdog.sh (health-check alerting, scheduled via cron). Both operate against the running containers from outside them.</w:t>
      </w:r>
    </w:p>
    <w:p>
      <w:pPr>
        <w:pStyle w:val="Heading1"/>
      </w:pPr>
      <w:r>
        <w:rPr>
          <w:color w:val="1F2A44"/>
        </w:rPr>
        <w:t>3. Technology Stack</w:t>
      </w:r>
    </w:p>
    <w:tbl>
      <w:tblPr>
        <w:tblStyle w:val="LightGrid-Accent1"/>
        <w:tblW w:type="auto" w:w="0"/>
        <w:jc w:val="center"/>
        <w:tblLook w:firstColumn="1" w:firstRow="1" w:lastColumn="0" w:lastRow="0" w:noHBand="0" w:noVBand="1" w:val="04A0"/>
      </w:tblPr>
      <w:tblGrid>
        <w:gridCol w:w="4320"/>
        <w:gridCol w:w="4320"/>
      </w:tblGrid>
      <w:tr>
        <w:tc>
          <w:tcPr>
            <w:tcW w:type="dxa" w:w="1872"/>
            <w:shd w:val="clear" w:color="auto" w:fill="305BAB"/>
          </w:tcPr>
          <w:p>
            <w:r>
              <w:rPr>
                <w:b/>
                <w:color w:val="FFFFFF"/>
              </w:rPr>
              <w:t>Layer</w:t>
            </w:r>
          </w:p>
        </w:tc>
        <w:tc>
          <w:tcPr>
            <w:tcW w:type="dxa" w:w="7488"/>
            <w:shd w:val="clear" w:color="auto" w:fill="305BAB"/>
          </w:tcPr>
          <w:p>
            <w:r>
              <w:rPr>
                <w:b/>
                <w:color w:val="FFFFFF"/>
              </w:rPr>
              <w:t>Technologies</w:t>
            </w:r>
          </w:p>
        </w:tc>
      </w:tr>
      <w:tr>
        <w:tc>
          <w:tcPr>
            <w:tcW w:type="dxa" w:w="1872"/>
          </w:tcPr>
          <w:p>
            <w:pPr>
              <w:spacing w:after="40"/>
            </w:pPr>
            <w:r>
              <w:rPr>
                <w:sz w:val="19"/>
              </w:rPr>
              <w:t>Frontend</w:t>
            </w:r>
          </w:p>
        </w:tc>
        <w:tc>
          <w:tcPr>
            <w:tcW w:type="dxa" w:w="7488"/>
          </w:tcPr>
          <w:p>
            <w:pPr>
              <w:spacing w:after="40"/>
            </w:pPr>
            <w:r>
              <w:rPr>
                <w:sz w:val="19"/>
              </w:rPr>
              <w:t>React (Vite build), single unified SPA hosting both the CSPM shell and ASPM views (ASPM views are namespace-scoped under .aspm-root for CSS isolation).</w:t>
            </w:r>
          </w:p>
        </w:tc>
      </w:tr>
      <w:tr>
        <w:tc>
          <w:tcPr>
            <w:tcW w:type="dxa" w:w="1872"/>
          </w:tcPr>
          <w:p>
            <w:pPr>
              <w:spacing w:after="40"/>
            </w:pPr>
            <w:r>
              <w:rPr>
                <w:sz w:val="19"/>
              </w:rPr>
              <w:t>cspm-api</w:t>
            </w:r>
          </w:p>
        </w:tc>
        <w:tc>
          <w:tcPr>
            <w:tcW w:type="dxa" w:w="7488"/>
          </w:tcPr>
          <w:p>
            <w:pPr>
              <w:spacing w:after="40"/>
            </w:pPr>
            <w:r>
              <w:rPr>
                <w:sz w:val="19"/>
              </w:rPr>
              <w:t>Node.js 20, Express, Prisma ORM, BullMQ (job queues), Socket.IO (real-time scan progress), Zod (request validation).</w:t>
            </w:r>
          </w:p>
        </w:tc>
      </w:tr>
      <w:tr>
        <w:tc>
          <w:tcPr>
            <w:tcW w:type="dxa" w:w="1872"/>
          </w:tcPr>
          <w:p>
            <w:pPr>
              <w:spacing w:after="40"/>
            </w:pPr>
            <w:r>
              <w:rPr>
                <w:sz w:val="19"/>
              </w:rPr>
              <w:t>aspm-api</w:t>
            </w:r>
          </w:p>
        </w:tc>
        <w:tc>
          <w:tcPr>
            <w:tcW w:type="dxa" w:w="7488"/>
          </w:tcPr>
          <w:p>
            <w:pPr>
              <w:spacing w:after="40"/>
            </w:pPr>
            <w:r>
              <w:rPr>
                <w:sz w:val="19"/>
              </w:rPr>
              <w:t>Python 3.12, FastAPI, psycopg (raw Postgres driver, not an ORM), WeasyPrint (PDF report generation), real third-party scanner binaries invoked as subprocesses.</w:t>
            </w:r>
          </w:p>
        </w:tc>
      </w:tr>
      <w:tr>
        <w:tc>
          <w:tcPr>
            <w:tcW w:type="dxa" w:w="1872"/>
          </w:tcPr>
          <w:p>
            <w:pPr>
              <w:spacing w:after="40"/>
            </w:pPr>
            <w:r>
              <w:rPr>
                <w:sz w:val="19"/>
              </w:rPr>
              <w:t>agent-api</w:t>
            </w:r>
          </w:p>
        </w:tc>
        <w:tc>
          <w:tcPr>
            <w:tcW w:type="dxa" w:w="7488"/>
          </w:tcPr>
          <w:p>
            <w:pPr>
              <w:spacing w:after="40"/>
            </w:pPr>
            <w:r>
              <w:rPr>
                <w:sz w:val="19"/>
              </w:rPr>
              <w:t>Python 3.12, FastAPI, LangGraph (stateful multi-step LLM pipelines), LangChain provider adapters for OpenAI / Anthropic / Groq / Ollama.</w:t>
            </w:r>
          </w:p>
        </w:tc>
      </w:tr>
      <w:tr>
        <w:tc>
          <w:tcPr>
            <w:tcW w:type="dxa" w:w="1872"/>
          </w:tcPr>
          <w:p>
            <w:pPr>
              <w:spacing w:after="40"/>
            </w:pPr>
            <w:r>
              <w:rPr>
                <w:sz w:val="19"/>
              </w:rPr>
              <w:t>Database</w:t>
            </w:r>
          </w:p>
        </w:tc>
        <w:tc>
          <w:tcPr>
            <w:tcW w:type="dxa" w:w="7488"/>
          </w:tcPr>
          <w:p>
            <w:pPr>
              <w:spacing w:after="40"/>
            </w:pPr>
            <w:r>
              <w:rPr>
                <w:sz w:val="19"/>
              </w:rPr>
              <w:t>PostgreSQL 16, two schemas (cspm via Prisma migrations / db push, aspm via a hand-rolled init_db() on first boot).</w:t>
            </w:r>
          </w:p>
        </w:tc>
      </w:tr>
      <w:tr>
        <w:tc>
          <w:tcPr>
            <w:tcW w:type="dxa" w:w="1872"/>
          </w:tcPr>
          <w:p>
            <w:pPr>
              <w:spacing w:after="40"/>
            </w:pPr>
            <w:r>
              <w:rPr>
                <w:sz w:val="19"/>
              </w:rPr>
              <w:t>Cache / Queue</w:t>
            </w:r>
          </w:p>
        </w:tc>
        <w:tc>
          <w:tcPr>
            <w:tcW w:type="dxa" w:w="7488"/>
          </w:tcPr>
          <w:p>
            <w:pPr>
              <w:spacing w:after="40"/>
            </w:pPr>
            <w:r>
              <w:rPr>
                <w:sz w:val="19"/>
              </w:rPr>
              <w:t>Redis 7, used exclusively by cspm-api for BullMQ job queues.</w:t>
            </w:r>
          </w:p>
        </w:tc>
      </w:tr>
      <w:tr>
        <w:tc>
          <w:tcPr>
            <w:tcW w:type="dxa" w:w="1872"/>
          </w:tcPr>
          <w:p>
            <w:pPr>
              <w:spacing w:after="40"/>
            </w:pPr>
            <w:r>
              <w:rPr>
                <w:sz w:val="19"/>
              </w:rPr>
              <w:t>DAST engine</w:t>
            </w:r>
          </w:p>
        </w:tc>
        <w:tc>
          <w:tcPr>
            <w:tcW w:type="dxa" w:w="7488"/>
          </w:tcPr>
          <w:p>
            <w:pPr>
              <w:spacing w:after="40"/>
            </w:pPr>
            <w:r>
              <w:rPr>
                <w:sz w:val="19"/>
              </w:rPr>
              <w:t>OWASP ZAP, run as its own daemon container, driven via its REST API by aspm-api.</w:t>
            </w:r>
          </w:p>
        </w:tc>
      </w:tr>
      <w:tr>
        <w:tc>
          <w:tcPr>
            <w:tcW w:type="dxa" w:w="1872"/>
          </w:tcPr>
          <w:p>
            <w:pPr>
              <w:spacing w:after="40"/>
            </w:pPr>
            <w:r>
              <w:rPr>
                <w:sz w:val="19"/>
              </w:rPr>
              <w:t>Gateway</w:t>
            </w:r>
          </w:p>
        </w:tc>
        <w:tc>
          <w:tcPr>
            <w:tcW w:type="dxa" w:w="7488"/>
          </w:tcPr>
          <w:p>
            <w:pPr>
              <w:spacing w:after="40"/>
            </w:pPr>
            <w:r>
              <w:rPr>
                <w:sz w:val="19"/>
              </w:rPr>
              <w:t>nginx 1.27 (alpine), reverse proxy + static file server for the built SPA.</w:t>
            </w:r>
          </w:p>
        </w:tc>
      </w:tr>
      <w:tr>
        <w:tc>
          <w:tcPr>
            <w:tcW w:type="dxa" w:w="1872"/>
          </w:tcPr>
          <w:p>
            <w:pPr>
              <w:spacing w:after="40"/>
            </w:pPr>
            <w:r>
              <w:rPr>
                <w:sz w:val="19"/>
              </w:rPr>
              <w:t>Containerization</w:t>
            </w:r>
          </w:p>
        </w:tc>
        <w:tc>
          <w:tcPr>
            <w:tcW w:type="dxa" w:w="7488"/>
          </w:tcPr>
          <w:p>
            <w:pPr>
              <w:spacing w:after="40"/>
            </w:pPr>
            <w:r>
              <w:rPr>
                <w:sz w:val="19"/>
              </w:rPr>
              <w:t>Docker + Docker Compose; every service has its own Dockerfile; no Kubernetes/orchestration layer in this repository.</w:t>
            </w:r>
          </w:p>
        </w:tc>
      </w:tr>
    </w:tbl>
    <w:p/>
    <w:p>
      <w:pPr>
        <w:pStyle w:val="Heading1"/>
      </w:pPr>
      <w:r>
        <w:rPr>
          <w:color w:val="1F2A44"/>
        </w:rPr>
        <w:t>4. Deployment Topology (Container Diagram, in prose)</w:t>
      </w:r>
    </w:p>
    <w:p>
      <w:r>
        <w:rPr>
          <w:b w:val="0"/>
          <w:i w:val="0"/>
        </w:rPr>
        <w:t>See the Miro board's D1 diagram for the visual version; this section is the textual equivalent for reference inside this document.</w:t>
      </w:r>
    </w:p>
    <w:p>
      <w:r>
        <w:rPr>
          <w:b w:val="0"/>
          <w:i w:val="0"/>
        </w:rPr>
        <w:t>The browser talks only to nginx (the web container), on port 8080. nginx fans traffic out by URL path prefix to the three backend services — it never exposes cspm-api, aspm-api, or agent-api's ports directly to the outside world in a hardened deployment (only web's 8080 needs to be reachable publicly; the other published ports in the compose file exist for local development convenience and should not be exposed on a production host's firewall).</w:t>
      </w:r>
    </w:p>
    <w:p>
      <w:pPr>
        <w:pStyle w:val="ListBullet"/>
      </w:pPr>
      <w:r>
        <w:t>Browser -&gt; nginx (HTTP, port 8080)</w:t>
      </w:r>
    </w:p>
    <w:p>
      <w:pPr>
        <w:pStyle w:val="ListBullet"/>
      </w:pPr>
      <w:r>
        <w:t>nginx -&gt; cspm-api (proxied, /api/cspm/* and /socket.io/*)</w:t>
      </w:r>
    </w:p>
    <w:p>
      <w:pPr>
        <w:pStyle w:val="ListBullet"/>
      </w:pPr>
      <w:r>
        <w:t>nginx -&gt; aspm-api (proxied, /api/aspm/*)</w:t>
      </w:r>
    </w:p>
    <w:p>
      <w:pPr>
        <w:pStyle w:val="ListBullet"/>
      </w:pPr>
      <w:r>
        <w:t>nginx -&gt; agent-api (proxied, /api/agent/*)</w:t>
      </w:r>
    </w:p>
    <w:p>
      <w:pPr>
        <w:pStyle w:val="ListBullet"/>
      </w:pPr>
      <w:r>
        <w:t>cspm-api -&gt; Postgres (schema cspm) and Redis (BullMQ)</w:t>
      </w:r>
    </w:p>
    <w:p>
      <w:pPr>
        <w:pStyle w:val="ListBullet"/>
      </w:pPr>
      <w:r>
        <w:t>aspm-api -&gt; Postgres (schema aspm), ZAP daemon, and agent-api (HTTP, for AI triage)</w:t>
      </w:r>
    </w:p>
    <w:p>
      <w:pPr>
        <w:pStyle w:val="ListBullet"/>
      </w:pPr>
      <w:r>
        <w:t>agent-api -&gt; configured LLM provider (OpenAI / Anthropic / Groq, or local Ollama)</w:t>
      </w:r>
    </w:p>
    <w:p>
      <w:r>
        <w:rPr>
          <w:b w:val="0"/>
          <w:i w:val="0"/>
        </w:rPr>
        <w:t>cspm-api and aspm-api never call each other directly — they are unified only through the shared JWT and the shared database instance (different schemas), not through service-to-service API calls. aspm-api is the only service that calls agent-api.</w:t>
      </w:r>
    </w:p>
    <w:p>
      <w:pPr>
        <w:pStyle w:val="Heading1"/>
      </w:pPr>
      <w:r>
        <w:rPr>
          <w:color w:val="1F2A44"/>
        </w:rPr>
        <w:t>5. Request Routing (nginx)</w:t>
      </w:r>
    </w:p>
    <w:p>
      <w:r>
        <w:rPr>
          <w:b w:val="0"/>
          <w:i w:val="0"/>
        </w:rPr>
        <w:t>web/nginx.conf performs path-prefix routing with a rewrite that strips the prefix before forwarding to the target service:</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color="auto" w:fill="305BAB"/>
          </w:tcPr>
          <w:p>
            <w:r>
              <w:rPr>
                <w:b/>
                <w:color w:val="FFFFFF"/>
              </w:rPr>
              <w:t>Path</w:t>
            </w:r>
          </w:p>
        </w:tc>
        <w:tc>
          <w:tcPr>
            <w:tcW w:type="dxa" w:w="2592"/>
            <w:shd w:val="clear" w:color="auto" w:fill="305BAB"/>
          </w:tcPr>
          <w:p>
            <w:r>
              <w:rPr>
                <w:b/>
                <w:color w:val="FFFFFF"/>
              </w:rPr>
              <w:t>Target</w:t>
            </w:r>
          </w:p>
        </w:tc>
        <w:tc>
          <w:tcPr>
            <w:tcW w:type="dxa" w:w="4176"/>
            <w:shd w:val="clear" w:color="auto" w:fill="305BAB"/>
          </w:tcPr>
          <w:p>
            <w:r>
              <w:rPr>
                <w:b/>
                <w:color w:val="FFFFFF"/>
              </w:rPr>
              <w:t>Rewrite behavior</w:t>
            </w:r>
          </w:p>
        </w:tc>
      </w:tr>
      <w:tr>
        <w:tc>
          <w:tcPr>
            <w:tcW w:type="dxa" w:w="2736"/>
          </w:tcPr>
          <w:p>
            <w:pPr>
              <w:spacing w:after="40"/>
            </w:pPr>
            <w:r>
              <w:rPr>
                <w:sz w:val="19"/>
              </w:rPr>
              <w:t>/</w:t>
            </w:r>
          </w:p>
        </w:tc>
        <w:tc>
          <w:tcPr>
            <w:tcW w:type="dxa" w:w="2592"/>
          </w:tcPr>
          <w:p>
            <w:pPr>
              <w:spacing w:after="40"/>
            </w:pPr>
            <w:r>
              <w:rPr>
                <w:sz w:val="19"/>
              </w:rPr>
              <w:t>SPA static files (index.html, JS/JS assets)</w:t>
            </w:r>
          </w:p>
        </w:tc>
        <w:tc>
          <w:tcPr>
            <w:tcW w:type="dxa" w:w="4176"/>
          </w:tcPr>
          <w:p>
            <w:pPr>
              <w:spacing w:after="40"/>
            </w:pPr>
            <w:r>
              <w:rPr>
                <w:sz w:val="19"/>
              </w:rPr>
              <w:t>n/a — served directly by nginx</w:t>
            </w:r>
          </w:p>
        </w:tc>
      </w:tr>
      <w:tr>
        <w:tc>
          <w:tcPr>
            <w:tcW w:type="dxa" w:w="2736"/>
          </w:tcPr>
          <w:p>
            <w:pPr>
              <w:spacing w:after="40"/>
            </w:pPr>
            <w:r>
              <w:rPr>
                <w:sz w:val="19"/>
              </w:rPr>
              <w:t>/api/cspm/*</w:t>
            </w:r>
          </w:p>
        </w:tc>
        <w:tc>
          <w:tcPr>
            <w:tcW w:type="dxa" w:w="2592"/>
          </w:tcPr>
          <w:p>
            <w:pPr>
              <w:spacing w:after="40"/>
            </w:pPr>
            <w:r>
              <w:rPr>
                <w:sz w:val="19"/>
              </w:rPr>
              <w:t>cspm-api :3001</w:t>
            </w:r>
          </w:p>
        </w:tc>
        <w:tc>
          <w:tcPr>
            <w:tcW w:type="dxa" w:w="4176"/>
          </w:tcPr>
          <w:p>
            <w:pPr>
              <w:spacing w:after="40"/>
            </w:pPr>
            <w:r>
              <w:rPr>
                <w:sz w:val="19"/>
              </w:rPr>
              <w:t>rewritten to /api/*</w:t>
            </w:r>
          </w:p>
        </w:tc>
      </w:tr>
      <w:tr>
        <w:tc>
          <w:tcPr>
            <w:tcW w:type="dxa" w:w="2736"/>
          </w:tcPr>
          <w:p>
            <w:pPr>
              <w:spacing w:after="40"/>
            </w:pPr>
            <w:r>
              <w:rPr>
                <w:sz w:val="19"/>
              </w:rPr>
              <w:t>/socket.io/*</w:t>
            </w:r>
          </w:p>
        </w:tc>
        <w:tc>
          <w:tcPr>
            <w:tcW w:type="dxa" w:w="2592"/>
          </w:tcPr>
          <w:p>
            <w:pPr>
              <w:spacing w:after="40"/>
            </w:pPr>
            <w:r>
              <w:rPr>
                <w:sz w:val="19"/>
              </w:rPr>
              <w:t>cspm-api :3001</w:t>
            </w:r>
          </w:p>
        </w:tc>
        <w:tc>
          <w:tcPr>
            <w:tcW w:type="dxa" w:w="4176"/>
          </w:tcPr>
          <w:p>
            <w:pPr>
              <w:spacing w:after="40"/>
            </w:pPr>
            <w:r>
              <w:rPr>
                <w:sz w:val="19"/>
              </w:rPr>
              <w:t>unrewritten — WebSocket upgrade for real-time scan progress</w:t>
            </w:r>
          </w:p>
        </w:tc>
      </w:tr>
      <w:tr>
        <w:tc>
          <w:tcPr>
            <w:tcW w:type="dxa" w:w="2736"/>
          </w:tcPr>
          <w:p>
            <w:pPr>
              <w:spacing w:after="40"/>
            </w:pPr>
            <w:r>
              <w:rPr>
                <w:sz w:val="19"/>
              </w:rPr>
              <w:t>/api/aspm/*</w:t>
            </w:r>
          </w:p>
        </w:tc>
        <w:tc>
          <w:tcPr>
            <w:tcW w:type="dxa" w:w="2592"/>
          </w:tcPr>
          <w:p>
            <w:pPr>
              <w:spacing w:after="40"/>
            </w:pPr>
            <w:r>
              <w:rPr>
                <w:sz w:val="19"/>
              </w:rPr>
              <w:t>aspm-api :8000</w:t>
            </w:r>
          </w:p>
        </w:tc>
        <w:tc>
          <w:tcPr>
            <w:tcW w:type="dxa" w:w="4176"/>
          </w:tcPr>
          <w:p>
            <w:pPr>
              <w:spacing w:after="40"/>
            </w:pPr>
            <w:r>
              <w:rPr>
                <w:sz w:val="19"/>
              </w:rPr>
              <w:t>rewritten to /api/*</w:t>
            </w:r>
          </w:p>
        </w:tc>
      </w:tr>
      <w:tr>
        <w:tc>
          <w:tcPr>
            <w:tcW w:type="dxa" w:w="2736"/>
          </w:tcPr>
          <w:p>
            <w:pPr>
              <w:spacing w:after="40"/>
            </w:pPr>
            <w:r>
              <w:rPr>
                <w:sz w:val="19"/>
              </w:rPr>
              <w:t>/api/aspm/docs, /redoc, /openapi.json</w:t>
            </w:r>
          </w:p>
        </w:tc>
        <w:tc>
          <w:tcPr>
            <w:tcW w:type="dxa" w:w="2592"/>
          </w:tcPr>
          <w:p>
            <w:pPr>
              <w:spacing w:after="40"/>
            </w:pPr>
            <w:r>
              <w:rPr>
                <w:sz w:val="19"/>
              </w:rPr>
              <w:t>aspm-api :8000</w:t>
            </w:r>
          </w:p>
        </w:tc>
        <w:tc>
          <w:tcPr>
            <w:tcW w:type="dxa" w:w="4176"/>
          </w:tcPr>
          <w:p>
            <w:pPr>
              <w:spacing w:after="40"/>
            </w:pPr>
            <w:r>
              <w:rPr>
                <w:sz w:val="19"/>
              </w:rPr>
              <w:t>passed through unrewritten — see note below</w:t>
            </w:r>
          </w:p>
        </w:tc>
      </w:tr>
      <w:tr>
        <w:tc>
          <w:tcPr>
            <w:tcW w:type="dxa" w:w="2736"/>
          </w:tcPr>
          <w:p>
            <w:pPr>
              <w:spacing w:after="40"/>
            </w:pPr>
            <w:r>
              <w:rPr>
                <w:sz w:val="19"/>
              </w:rPr>
              <w:t>/api/agent/*</w:t>
            </w:r>
          </w:p>
        </w:tc>
        <w:tc>
          <w:tcPr>
            <w:tcW w:type="dxa" w:w="2592"/>
          </w:tcPr>
          <w:p>
            <w:pPr>
              <w:spacing w:after="40"/>
            </w:pPr>
            <w:r>
              <w:rPr>
                <w:sz w:val="19"/>
              </w:rPr>
              <w:t>agent-api :8100</w:t>
            </w:r>
          </w:p>
        </w:tc>
        <w:tc>
          <w:tcPr>
            <w:tcW w:type="dxa" w:w="4176"/>
          </w:tcPr>
          <w:p>
            <w:pPr>
              <w:spacing w:after="40"/>
            </w:pPr>
            <w:r>
              <w:rPr>
                <w:sz w:val="19"/>
              </w:rPr>
              <w:t>rewritten to /* (no /api/ prefix added, since agent-api's own routes have no /api prefix)</w:t>
            </w:r>
          </w:p>
        </w:tc>
      </w:tr>
      <w:tr>
        <w:tc>
          <w:tcPr>
            <w:tcW w:type="dxa" w:w="2736"/>
          </w:tcPr>
          <w:p>
            <w:pPr>
              <w:spacing w:after="40"/>
            </w:pPr>
            <w:r>
              <w:rPr>
                <w:sz w:val="19"/>
              </w:rPr>
              <w:t>/api/agent/docs, /redoc, /openapi.json</w:t>
            </w:r>
          </w:p>
        </w:tc>
        <w:tc>
          <w:tcPr>
            <w:tcW w:type="dxa" w:w="2592"/>
          </w:tcPr>
          <w:p>
            <w:pPr>
              <w:spacing w:after="40"/>
            </w:pPr>
            <w:r>
              <w:rPr>
                <w:sz w:val="19"/>
              </w:rPr>
              <w:t>agent-api :8100</w:t>
            </w:r>
          </w:p>
        </w:tc>
        <w:tc>
          <w:tcPr>
            <w:tcW w:type="dxa" w:w="4176"/>
          </w:tcPr>
          <w:p>
            <w:pPr>
              <w:spacing w:after="40"/>
            </w:pPr>
            <w:r>
              <w:rPr>
                <w:sz w:val="19"/>
              </w:rPr>
              <w:t>passed through unrewritten — see note below</w:t>
            </w:r>
          </w:p>
        </w:tc>
      </w:tr>
    </w:tbl>
    <w:p/>
    <w:p>
      <w:r>
        <w:rPr>
          <w:b w:val="0"/>
          <w:i w:val="0"/>
        </w:rPr>
        <w:t>Note on the Swagger/OpenAPI doc routes: FastAPI's auto-generated docs page embeds an absolute browser-fetch URL for its own openapi.json. Both aspm-api and agent-api are configured (in their FastAPI(...) constructor) to serve docs_url/redoc_url/openapi_url at their full external path rather than the FastAPI default of /docs — this was a real bug fixed mid-session: with the default, the embedded fetch URL resolved to the SPA's root path instead of the correct backend, and Swagger UI failed with "unable to render this definition."</w:t>
      </w:r>
    </w:p>
    <w:p>
      <w:r>
        <w:rPr>
          <w:b w:val="0"/>
          <w:i w:val="0"/>
        </w:rPr>
        <w:t>Rate limiting is applied at the nginx layer for /api/aspm/* and /api/agent/* (15 req/s, burst 30, returns HTTP 429) — neither Python backend has its own application-level limiter. cspm-api self-limits instead, via express-rate-limit in its own Express middleware stack (1,000 req/15min general, 60 req/15min on auth routes).</w:t>
      </w:r>
    </w:p>
    <w:p>
      <w:pPr>
        <w:pStyle w:val="Heading1"/>
      </w:pPr>
      <w:r>
        <w:rPr>
          <w:color w:val="1F2A44"/>
        </w:rPr>
        <w:t>6. Data Architecture</w:t>
      </w:r>
    </w:p>
    <w:p>
      <w:r>
        <w:rPr>
          <w:b w:val="0"/>
          <w:i w:val="0"/>
        </w:rPr>
        <w:t>One physical Postgres 16 instance, one database (vapt), two schemas:</w:t>
      </w:r>
    </w:p>
    <w:p>
      <w:pPr>
        <w:pStyle w:val="ListBullet"/>
      </w:pPr>
      <w:r>
        <w:t>cspm schema — owned by cspm-api, managed via Prisma (prisma db push on boot, no manual migration step). Tables include accounts/subscriptions/projects per cloud provider, Finding, ResourceInventory, ExposurePath, ConfigChange, ConfigBaseline, DriftResult, RiskItem, User, Session, and more.</w:t>
      </w:r>
    </w:p>
    <w:p>
      <w:pPr>
        <w:pStyle w:val="ListBullet"/>
      </w:pPr>
      <w:r>
        <w:t>aspm schema — owned by aspm-api, managed by a hand-rolled init_db() that runs on first boot (not Prisma-managed). Tables include targets, vulnerabilities, scan_jobs, fix_cache, and code_embeddings (for RAG retrieval during triage).</w:t>
      </w:r>
    </w:p>
    <w:p>
      <w:r>
        <w:rPr>
          <w:b w:val="0"/>
          <w:i w:val="0"/>
        </w:rPr>
        <w:t>The two schemas are never joined in a single query — cspm-api and aspm-api each connect with their own DATABASE_URL pointed at their own schema via a schema= query parameter (cspm-api) or DB_SCHEMA env var (aspm-api). The only thing genuinely shared across the schema boundary is the JWT signing secret used for auth, not data.</w:t>
      </w:r>
    </w:p>
    <w:p>
      <w:r>
        <w:rPr>
          <w:b w:val="0"/>
          <w:i w:val="0"/>
        </w:rPr>
        <w:t>Redis is used exclusively by cspm-api, exclusively for BullMQ job queues (scan jobs, drift checks, scheduled reports, config-sync jobs). aspm-api and agent-api do not use Redis at all.</w:t>
      </w:r>
    </w:p>
    <w:p>
      <w:r>
        <w:rPr>
          <w:b w:val="0"/>
          <w:i w:val="0"/>
        </w:rPr>
        <w:t>A notable data-layer subsystem: aspm-api's fix_cache table stores AI-generated remediation (unsafe/safe code pairs) keyed by a vector embedding of the finding's title+CWE+description, so a new finding similar enough to a previously-triaged one (cosine similarity above a threshold) reuses the cached fix instead of paying for a fresh LLM call. This cache was found mid-session to have been silently poisoned by an earlier LLM output-quality bug and required a one-time cleanup — a concrete illustration that any cache sitting in front of an LLM call needs the same output validation as the live path, not just the live path alone.</w:t>
      </w:r>
    </w:p>
    <w:p>
      <w:pPr>
        <w:pStyle w:val="Heading1"/>
      </w:pPr>
      <w:r>
        <w:rPr>
          <w:color w:val="1F2A44"/>
        </w:rPr>
        <w:t>7. Authentication &amp; Authorization Flow</w:t>
      </w:r>
    </w:p>
    <w:p>
      <w:pPr>
        <w:pStyle w:val="ListNumber"/>
      </w:pPr>
      <w:r>
        <w:t>User submits email/password to cspm-api's POST /api/auth/login.</w:t>
      </w:r>
    </w:p>
    <w:p>
      <w:pPr>
        <w:pStyle w:val="ListNumber"/>
      </w:pPr>
      <w:r>
        <w:t>cspm-api verifies the password hash, issues a signed access token (JWT_ACCESS_SECRET, 60-minute expiry) and a refresh token (JWT_REFRESH_SECRET, 7-day expiry), and persists a Session row keyed by a hash of the refresh token.</w:t>
      </w:r>
    </w:p>
    <w:p>
      <w:pPr>
        <w:pStyle w:val="ListNumber"/>
      </w:pPr>
      <w:r>
        <w:t>The frontend stores both tokens and attaches the access token as an Authorization: Bearer header on every subsequent request to either cspm-api or aspm-api.</w:t>
      </w:r>
    </w:p>
    <w:p>
      <w:pPr>
        <w:pStyle w:val="ListNumber"/>
      </w:pPr>
      <w:r>
        <w:t>aspm-api independently validates the same JWT on every request via a global FastAPI dependency (verify_jwt) — it never calls cspm-api to check a session; it only needs the shared JWT_ACCESS_SECRET to verify the signature itself. This is the entire mechanism behind "one login for both products."</w:t>
      </w:r>
    </w:p>
    <w:p>
      <w:pPr>
        <w:pStyle w:val="ListNumber"/>
      </w:pPr>
      <w:r>
        <w:t>On access-token expiry, the frontend calls POST /api/auth/refresh with the refresh token; cspm-api validates it against the stored Session, rotates it (deletes the old session, issues a new access+refresh pair), and returns the new tokens.</w:t>
      </w:r>
    </w:p>
    <w:p>
      <w:r>
        <w:rPr>
          <w:b w:val="0"/>
          <w:i w:val="0"/>
        </w:rPr>
        <w:t>A real bug was found and fixed in this rotation step mid-session: the original code used a strict delete() on the old session row, which throws if two requests race to refresh at the same time (a common pattern when several API calls fail with 401 simultaneously and each independently triggers its own refresh). The second concurrent request's delete() then threw an unhandled error, surfacing as a 500 and leaving the user stuck logged out. Fixed by switching to the idempotent deleteMany().</w:t>
      </w:r>
    </w:p>
    <w:p>
      <w:r>
        <w:rPr>
          <w:b w:val="0"/>
          <w:i w:val="0"/>
        </w:rPr>
        <w:t>agent-api also validates the same shared JWT on its own endpoints, so a caller needs a valid CSPM-issued token to invoke AI triage directly — in practice only aspm-api calls agent-api, using a service-level token.</w:t>
      </w:r>
    </w:p>
    <w:p>
      <w:r>
        <w:rPr>
          <w:b w:val="0"/>
          <w:i w:val="0"/>
        </w:rPr>
        <w:t>FastAPI's own auto-generated docs/OpenAPI routes are exempt from this global auth dependency by framework design (confirmed empirically during this session) — the Swagger UI pages are reachable without a token, which is expected and acceptable since they only describe the API surface, not live data.</w:t>
      </w:r>
    </w:p>
    <w:p>
      <w:r>
        <w:br w:type="page"/>
      </w:r>
    </w:p>
    <w:p>
      <w:pPr>
        <w:pStyle w:val="Heading1"/>
      </w:pPr>
      <w:r>
        <w:rPr>
          <w:color w:val="1F2A44"/>
        </w:rPr>
        <w:t>8. Application Flow — Cloud Security (CSPM) Scan</w:t>
      </w:r>
    </w:p>
    <w:p>
      <w:pPr>
        <w:pStyle w:val="ListNumber"/>
      </w:pPr>
      <w:r>
        <w:t>User adds a cloud account (AWS role/keys, Azure service principal, or GCP service account key); credentials are encrypted at rest with CREDENTIAL_ENCRYPTION_KEY before being stored.</w:t>
      </w:r>
    </w:p>
    <w:p>
      <w:pPr>
        <w:pStyle w:val="ListNumber"/>
      </w:pPr>
      <w:r>
        <w:t>A scan is triggered (manually, or by the periodic schedule); cspm-api enqueues a BullMQ job on Redis.</w:t>
      </w:r>
    </w:p>
    <w:p>
      <w:pPr>
        <w:pStyle w:val="ListNumber"/>
      </w:pPr>
      <w:r>
        <w:t>A dedicated worker (one per cloud provider) picks up the job, instantiates a ScanEngine, and runs every registered check against the account's real cloud API (read-only calls only — the platform never modifies cloud resources).</w:t>
      </w:r>
    </w:p>
    <w:p>
      <w:pPr>
        <w:pStyle w:val="ListNumber"/>
      </w:pPr>
      <w:r>
        <w:t>Each check emits zero or more findings; new findings are deduplicated against existing OPEN/ACKNOWLEDGED findings before being persisted.</w:t>
      </w:r>
    </w:p>
    <w:p>
      <w:pPr>
        <w:pStyle w:val="ListNumber"/>
      </w:pPr>
      <w:r>
        <w:t>Socket.IO pushes scan:started / scan:completed / scan:failed events to the frontend so the UI updates live, without polling.</w:t>
      </w:r>
    </w:p>
    <w:p>
      <w:pPr>
        <w:pStyle w:val="ListNumber"/>
      </w:pPr>
      <w:r>
        <w:t>Downstream services react to the new findings automatically: risk scoring (reachability x business context x exploit maturity), graph enrichment (exposure path computation for CIEM/DSPM), and the periodic drift-detection scan (comparing current config against any captured baseline).</w:t>
      </w:r>
    </w:p>
    <w:p>
      <w:pPr>
        <w:pStyle w:val="Heading1"/>
      </w:pPr>
      <w:r>
        <w:rPr>
          <w:color w:val="1F2A44"/>
        </w:rPr>
        <w:t>9. Application Flow — Application Security (ASPM) Pipeline</w:t>
      </w:r>
    </w:p>
    <w:p>
      <w:r>
        <w:rPr>
          <w:b w:val="0"/>
          <w:i w:val="0"/>
        </w:rPr>
        <w:t>Full stage-by-stage detail lives in the companion Feature Flows document; this section gives the architectural shape of the pipeline as a whole.</w:t>
      </w:r>
    </w:p>
    <w:p>
      <w:pPr>
        <w:pStyle w:val="ListNumber"/>
      </w:pPr>
      <w:r>
        <w:t>A Git target is onboarded (repo URL, optional access token, optional branch).</w:t>
      </w:r>
    </w:p>
    <w:p>
      <w:pPr>
        <w:pStyle w:val="ListNumber"/>
      </w:pPr>
      <w:r>
        <w:t>The 9-stage pipeline runs, each stage an independently-resumable generator function in aspm-api's scanners.py, streaming log output to the frontend as it executes: Ingest -&gt; SAST/Secrets/SCA -&gt; Blind-Spot Sweep -&gt; AI Triage -&gt; Fix Generation -&gt; Human Approval Gate -&gt; Apply Patches -&gt; Build Check -&gt; Push PR.</w:t>
      </w:r>
    </w:p>
    <w:p>
      <w:pPr>
        <w:pStyle w:val="ListNumber"/>
      </w:pPr>
      <w:r>
        <w:t>The AI-dependent stages (Blind-Spot Sweep, AI Triage, Fix Generation) call out to agent-api over HTTP; agent-api runs a LangGraph pipeline against the configured LLM provider and returns structured results.</w:t>
      </w:r>
    </w:p>
    <w:p>
      <w:pPr>
        <w:pStyle w:val="ListNumber"/>
      </w:pPr>
      <w:r>
        <w:t>The pipeline hard-stops at the Human Approval Gate — no AI-generated fix is ever written to the target repository without an explicit human approval action.</w:t>
      </w:r>
    </w:p>
    <w:p>
      <w:pPr>
        <w:pStyle w:val="ListNumber"/>
      </w:pPr>
      <w:r>
        <w:t>Approved fixes go through a re-scan-verified apply step: the same rule that originally flagged the finding is re-run against the patched file; a fix that doesn't actually clear the finding is automatically reverted, never committed.</w:t>
      </w:r>
    </w:p>
    <w:p>
      <w:r>
        <w:rPr>
          <w:b w:val="0"/>
          <w:i w:val="0"/>
        </w:rPr>
        <w:t>Architecturally significant point: each pipeline stage performs its own fresh, independent shallow git clone of the target repository rather than sharing one checkout across stages. This is documented in Section 13 as a known limitation — for an actively-changing target repo, line numbers computed in an early stage could in principle drift from what a later stage sees.</w:t>
      </w:r>
    </w:p>
    <w:p>
      <w:r>
        <w:br w:type="page"/>
      </w:r>
    </w:p>
    <w:p>
      <w:pPr>
        <w:pStyle w:val="Heading1"/>
      </w:pPr>
      <w:r>
        <w:rPr>
          <w:color w:val="1F2A44"/>
        </w:rPr>
        <w:t>10. AI/LLM Integration Architecture</w:t>
      </w:r>
    </w:p>
    <w:p>
      <w:r>
        <w:rPr>
          <w:b w:val="0"/>
          <w:i w:val="0"/>
        </w:rPr>
        <w:t>agent-api is the platform's single point of LLM integration — no other service calls an LLM provider directly. It exposes a small internal HTTP API (called only by aspm-api) wrapping a LangGraph pipeline with four nodes: load_references -&gt; analyze -&gt; judge -&gt; remediate.</w:t>
      </w:r>
    </w:p>
    <w:p>
      <w:pPr>
        <w:pStyle w:val="ListBullet"/>
      </w:pPr>
      <w:r>
        <w:t>load_references — pulls the relevant vulnerability-class knowledge-base file(s) from a curated 106-file reference library (services/agent-api/references/) to ground the analysis in documented attack patterns instead of the model's general knowledge alone.</w:t>
      </w:r>
    </w:p>
    <w:p>
      <w:pPr>
        <w:pStyle w:val="ListBullet"/>
      </w:pPr>
      <w:r>
        <w:t>analyze — produces an exploitability verdict for the finding.</w:t>
      </w:r>
    </w:p>
    <w:p>
      <w:pPr>
        <w:pStyle w:val="ListBullet"/>
      </w:pPr>
      <w:r>
        <w:t>judge — a second, adversarial LLM pass specifically checking whether the analyze verdict was correct, catching over-eager "confirmed" verdicts.</w:t>
      </w:r>
    </w:p>
    <w:p>
      <w:pPr>
        <w:pStyle w:val="ListBullet"/>
      </w:pPr>
      <w:r>
        <w:t>remediate — produces a before/after code fix, validated server-side before being trusted: a response where the "unsafe" and "safe" values are identical or near-identical is rejected as a degenerate non-fix rather than stored and shown to the user as a real diff.</w:t>
      </w:r>
    </w:p>
    <w:p>
      <w:r>
        <w:rPr>
          <w:b w:val="0"/>
          <w:i w:val="0"/>
        </w:rPr>
        <w:t>Provider is configurable per-node (LLM_PROVIDER/AGENT_MODEL for analyze/remediate, JUDGE_PROVIDER/JUDGE_MODEL for judge, which is deliberately more sensitive to a weak model and can be pointed at a stronger one independently). Supported providers: OpenAI, Anthropic, Groq, and local Ollama. A quota/credit-error-specific fallback path retries once against local Ollama if the primary provider fails for that specific reason, without masking other kinds of errors.</w:t>
      </w:r>
    </w:p>
    <w:p>
      <w:r>
        <w:rPr>
          <w:b w:val="0"/>
          <w:i w:val="0"/>
        </w:rPr>
        <w:t>A Postgres-backed fix cache sits in front of the remediate call, keyed by embedding similarity on title+CWE+description, to avoid repeat LLM spend on recurring finding classes across different targets.</w:t>
      </w:r>
    </w:p>
    <w:p>
      <w:pPr>
        <w:pStyle w:val="Heading1"/>
      </w:pPr>
      <w:r>
        <w:rPr>
          <w:color w:val="1F2A44"/>
        </w:rPr>
        <w:t>11. Network &amp; Security Model</w:t>
      </w:r>
    </w:p>
    <w:p>
      <w:pPr>
        <w:pStyle w:val="ListBullet"/>
      </w:pPr>
      <w:r>
        <w:t>Single public entry point: only the web container's port 8080 should be exposed externally. All other published ports in docker-compose.yml (cspm-api :3001, postgres :5434, redis :6379, zap :8090) exist for local development and must not be reachable from outside the deployment host in production.</w:t>
      </w:r>
    </w:p>
    <w:p>
      <w:pPr>
        <w:pStyle w:val="ListBullet"/>
      </w:pPr>
      <w:r>
        <w:t>TLS is not terminated by this stack — a reverse proxy or load balancer must sit in front of web:8080 and terminate HTTPS; the platform's own CORS_ORIGIN configuration must then point at that public HTTPS URL.</w:t>
      </w:r>
    </w:p>
    <w:p>
      <w:pPr>
        <w:pStyle w:val="ListBullet"/>
      </w:pPr>
      <w:r>
        <w:t>CORS is explicitly restricted (not wildcarded) on both cspm-api and aspm-api. aspm-api's CORS configuration was found mid-session to combine allow_origins=["*"] with allow_credentials=True, which Starlette's documented behavior turns into reflecting back whatever Origin header a request sends — effectively permitting any site to make credentialed requests. Fixed by restricting to the actual CORS_ORIGIN value.</w:t>
      </w:r>
    </w:p>
    <w:p>
      <w:pPr>
        <w:pStyle w:val="ListBullet"/>
      </w:pPr>
      <w:r>
        <w:t>Credentials at rest: cloud provider credentials (AWS/Azure/GCP) are encrypted with CREDENTIAL_ENCRYPTION_KEY before being stored in Postgres, not stored in plaintext.</w:t>
      </w:r>
    </w:p>
    <w:p>
      <w:pPr>
        <w:pStyle w:val="ListBullet"/>
      </w:pPr>
      <w:r>
        <w:t>Secrets management: all secrets (JWT keys, encryption key, DB/Redis passwords, ZAP API key, LLM provider API keys) are supplied via environment variables, never committed to the repository. See the Production Deployment Guide for the recommendation to move the most sensitive of these (DB/Redis credentials, LLM API keys) into real system/shell environment variables rather than the .env file.</w:t>
      </w:r>
    </w:p>
    <w:p>
      <w:pPr>
        <w:pStyle w:val="ListBullet"/>
      </w:pPr>
      <w:r>
        <w:t>Rate limiting protects against brute-force and abusive bursts at both the nginx edge (aspm-api, agent-api) and the application layer (cspm-api's express-rate-limit).</w:t>
      </w:r>
    </w:p>
    <w:p>
      <w:pPr>
        <w:pStyle w:val="ListBullet"/>
      </w:pPr>
      <w:r>
        <w:t>The event-driven config-sync webhook (routes/configSyncWebhook.ts) fails closed (HTTP 503) by design until an operator explicitly configures CONFIG_SYNC_WEBHOOK_SECRET and exposes this stack over HTTPS to a cloud provider's event system — there is no insecure default-open state for this endpoint.</w:t>
      </w:r>
    </w:p>
    <w:p>
      <w:pPr>
        <w:pStyle w:val="Heading1"/>
      </w:pPr>
      <w:r>
        <w:rPr>
          <w:color w:val="1F2A44"/>
        </w:rPr>
        <w:t>12. Resilience — Health Checks, Backups, Alerting</w:t>
      </w:r>
    </w:p>
    <w:p>
      <w:pPr>
        <w:pStyle w:val="ListBullet"/>
      </w:pPr>
      <w:r>
        <w:t>Every app-stack container defines a Docker healthcheck; web and aspm-api use depends_on: condition: service_healthy so they don't start against not-yet-ready dependencies.</w:t>
      </w:r>
    </w:p>
    <w:p>
      <w:pPr>
        <w:pStyle w:val="ListBullet"/>
      </w:pPr>
      <w:r>
        <w:t>infra/monitoring/watchdog.sh (host cron, not a container) checks both container health status and each backend's HTTP health endpoint, alerting to a webhook only on a state transition after a configurable failure threshold — verified end-to-end against a mock webhook receiver in this session.</w:t>
      </w:r>
    </w:p>
    <w:p>
      <w:pPr>
        <w:pStyle w:val="ListBullet"/>
      </w:pPr>
      <w:r>
        <w:t>infra/db/backup.sh (host cron) runs a compressed pg_dump on a schedule with automatic retention pruning; infra/db/restore.sh performs a confirmed, safety-gated restore that refuses to proceed if it cannot first stop the app containers cleanly.</w:t>
      </w:r>
    </w:p>
    <w:p>
      <w:pPr>
        <w:pStyle w:val="ListBullet"/>
      </w:pPr>
      <w:r>
        <w:t>BullMQ job coalescing prevents duplicate scan jobs for the same target from queuing concurrently.</w:t>
      </w:r>
    </w:p>
    <w:p>
      <w:pPr>
        <w:pStyle w:val="Heading1"/>
      </w:pPr>
      <w:r>
        <w:rPr>
          <w:color w:val="1F2A44"/>
        </w:rPr>
        <w:t>13. Known Architectural Limitations</w:t>
      </w:r>
    </w:p>
    <w:p>
      <w:pPr>
        <w:pStyle w:val="ListBullet"/>
      </w:pPr>
      <w:r>
        <w:t>No shared code checkout across ASPM pipeline stages — each stage does its own fresh shallow git clone rather than one pinned checkout, so a target repo that changes mid-run could (rarely) cause line-number drift between stages.</w:t>
      </w:r>
    </w:p>
    <w:p>
      <w:pPr>
        <w:pStyle w:val="ListBullet"/>
      </w:pPr>
      <w:r>
        <w:t>SCA/dependency findings cannot be auto-patched by the Apply Patches stage — a lockfile version bump has no single "vulnerable line" to diff against, so these are triaged and reported but not auto-remediated.</w:t>
      </w:r>
    </w:p>
    <w:p>
      <w:pPr>
        <w:pStyle w:val="ListBullet"/>
      </w:pPr>
      <w:r>
        <w:t>cspm-api has no Swagger/OpenAPI documentation (Express, not FastAPI) — aspm-api and agent-api both do.</w:t>
      </w:r>
    </w:p>
    <w:p>
      <w:pPr>
        <w:pStyle w:val="ListBullet"/>
      </w:pPr>
      <w:r>
        <w:t>Taint Analysis is a read-only preview — source/sink/sanitizer locations are tagged, but taint propagation (whether a source provably reaches a sink) is not yet implemented.</w:t>
      </w:r>
    </w:p>
    <w:p>
      <w:pPr>
        <w:pStyle w:val="ListBullet"/>
      </w:pPr>
      <w:r>
        <w:t>No automated alert delivery out of the box — infra/monitoring/watchdog.sh requires a real WEBHOOK_URL to be configured before alerts go anywhere beyond a local log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