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2"/>
        </w:rPr>
        <w:t>VAPT Cloud Scanner</w:t>
      </w:r>
    </w:p>
    <w:p>
      <w:pPr>
        <w:jc w:val="center"/>
      </w:pPr>
      <w:r>
        <w:rPr>
          <w:color w:val="595959"/>
          <w:sz w:val="26"/>
        </w:rPr>
        <w:t>Production Deployment Guide</w:t>
      </w:r>
    </w:p>
    <w:p>
      <w:pPr>
        <w:jc w:val="center"/>
      </w:pPr>
      <w:r>
        <w:rPr>
          <w:color w:val="595959"/>
          <w:sz w:val="22"/>
        </w:rPr>
        <w:t>Unified CSPM + ASPM + AI Triage Security Platform</w:t>
      </w:r>
    </w:p>
    <w:p/>
    <w:p>
      <w:pPr>
        <w:jc w:val="center"/>
      </w:pPr>
      <w:r>
        <w:rPr>
          <w:color w:val="595959"/>
          <w:sz w:val="20"/>
        </w:rPr>
        <w:t>Version 1.0</w:t>
      </w:r>
    </w:p>
    <w:p>
      <w:r>
        <w:br w:type="page"/>
      </w:r>
    </w:p>
    <w:p>
      <w:pPr>
        <w:pStyle w:val="Heading1"/>
      </w:pPr>
      <w:r>
        <w:rPr>
          <w:color w:val="1F2A44"/>
        </w:rPr>
        <w:t>Contents</w:t>
      </w:r>
    </w:p>
    <w:p>
      <w:pPr>
        <w:pStyle w:val="ListBullet"/>
      </w:pPr>
      <w:r>
        <w:t>1. Overview</w:t>
      </w:r>
    </w:p>
    <w:p>
      <w:pPr>
        <w:pStyle w:val="ListBullet"/>
      </w:pPr>
      <w:r>
        <w:t>2. Prerequisites</w:t>
      </w:r>
    </w:p>
    <w:p>
      <w:pPr>
        <w:pStyle w:val="ListBullet"/>
      </w:pPr>
      <w:r>
        <w:t>3. Step-by-Step Deployment Procedure</w:t>
      </w:r>
    </w:p>
    <w:p>
      <w:pPr>
        <w:pStyle w:val="ListBullet"/>
      </w:pPr>
      <w:r>
        <w:t>4. Parameter Reference — System Environment Variables</w:t>
      </w:r>
    </w:p>
    <w:p>
      <w:pPr>
        <w:pStyle w:val="ListBullet"/>
      </w:pPr>
      <w:r>
        <w:t>5. Parameter Reference — .env File</w:t>
      </w:r>
    </w:p>
    <w:p>
      <w:pPr>
        <w:pStyle w:val="ListBullet"/>
      </w:pPr>
      <w:r>
        <w:t>6. Parameter Reference — docker-compose.yml Hardcoded Values</w:t>
      </w:r>
    </w:p>
    <w:p>
      <w:pPr>
        <w:pStyle w:val="ListBullet"/>
      </w:pPr>
      <w:r>
        <w:t>7. Post-Deployment Steps</w:t>
      </w:r>
    </w:p>
    <w:p>
      <w:pPr>
        <w:pStyle w:val="ListBullet"/>
      </w:pPr>
      <w:r>
        <w:t>8. Verification Checklist</w:t>
      </w:r>
    </w:p>
    <w:p>
      <w:pPr>
        <w:pStyle w:val="ListBullet"/>
      </w:pPr>
      <w:r>
        <w:t>9. Rollback / Troubleshooting</w:t>
      </w:r>
    </w:p>
    <w:p>
      <w:r>
        <w:br w:type="page"/>
      </w:r>
    </w:p>
    <w:p>
      <w:pPr>
        <w:pStyle w:val="Heading1"/>
      </w:pPr>
      <w:r>
        <w:rPr>
          <w:color w:val="1F2A44"/>
        </w:rPr>
        <w:t>1. Overview</w:t>
      </w:r>
    </w:p>
    <w:p>
      <w:r>
        <w:rPr>
          <w:b w:val="0"/>
          <w:i w:val="0"/>
        </w:rPr>
        <w:t>The VAPT Cloud Scanner is a single Docker Compose stack of 7 containers: nginx (web gateway), cspm-api (Node/Express), aspm-api (Python/FastAPI), agent-api (Python/LangGraph AI triage), Postgres 16, Redis, and an OWASP ZAP daemon. All configuration is supplied via environment variables — either through an untracked .env file next to docker-compose.yml, or through variables already present in the deploying host's shell/system environment (Docker Compose gives system/shell environment variables precedence over .env file values of the same name).</w:t>
      </w:r>
    </w:p>
    <w:p>
      <w:r>
        <w:rPr>
          <w:b w:val="0"/>
          <w:i w:val="0"/>
        </w:rPr>
        <w:t>This guide covers a fresh production deployment on a Linux host. It assumes Docker and Docker Compose are already installed and the deploying user has permission to run docker commands.</w:t>
      </w:r>
    </w:p>
    <w:p>
      <w:pPr>
        <w:pStyle w:val="Heading1"/>
      </w:pPr>
      <w:r>
        <w:rPr>
          <w:color w:val="1F2A44"/>
        </w:rPr>
        <w:t>2. Prerequisites</w:t>
      </w:r>
    </w:p>
    <w:p>
      <w:pPr>
        <w:pStyle w:val="ListBullet"/>
      </w:pPr>
      <w:r>
        <w:t>A Linux host (the platform is developed and tested for Linux Docker hosts; production should not run on a Windows/Docker Desktop host).</w:t>
      </w:r>
    </w:p>
    <w:p>
      <w:pPr>
        <w:pStyle w:val="ListBullet"/>
      </w:pPr>
      <w:r>
        <w:t>Docker Engine 24+ and the Docker Compose plugin (docker compose, not the legacy docker-compose v1 binary).</w:t>
      </w:r>
    </w:p>
    <w:p>
      <w:pPr>
        <w:pStyle w:val="ListBullet"/>
      </w:pPr>
      <w:r>
        <w:t>Outbound internet access on the build host — the aspm-api image downloads real scanner binaries (nmap, nuclei, gobuster, trivy, semgrep, gitleaks, trufflehog) and Trivy's vulnerability + Java databases (~2.6 GB) at build time.</w:t>
      </w:r>
    </w:p>
    <w:p>
      <w:pPr>
        <w:pStyle w:val="ListBullet"/>
      </w:pPr>
      <w:r>
        <w:t>At least 4 vCPU / 8 GB RAM / 20 GB disk recommended. ZAP alone is capped at 1.5 GB container memory; the aspm-api image itself is several GB once built.</w:t>
      </w:r>
    </w:p>
    <w:p>
      <w:pPr>
        <w:pStyle w:val="ListBullet"/>
      </w:pPr>
      <w:r>
        <w:t>A domain name and TLS certificate if this will be reachable outside a private network — the web container serves plain HTTP only; TLS termination is expected to happen in front of it (see Section 7).</w:t>
      </w:r>
    </w:p>
    <w:p>
      <w:pPr>
        <w:pStyle w:val="ListBullet"/>
      </w:pPr>
      <w:r>
        <w:t>Accounts/API keys ready in advance for whichever LLM provider you will use for AI triage (OpenAI, Anthropic, or Groq) — or a running Ollama instance if going fully local.</w:t>
      </w:r>
    </w:p>
    <w:p>
      <w:pPr>
        <w:pStyle w:val="Heading1"/>
      </w:pPr>
      <w:r>
        <w:rPr>
          <w:color w:val="1F2A44"/>
        </w:rPr>
        <w:t>3. Step-by-Step Deployment Procedure</w:t>
      </w:r>
    </w:p>
    <w:p>
      <w:pPr>
        <w:pStyle w:val="Heading2"/>
      </w:pPr>
      <w:r>
        <w:rPr>
          <w:color w:val="305BAB"/>
        </w:rPr>
        <w:t>Step 1 — Clone the repository</w:t>
      </w:r>
    </w:p>
    <w:p>
      <w:pPr>
        <w:ind w:left="432"/>
        <w:shd w:val="clear" w:color="auto" w:fill="F2F2F2"/>
      </w:pPr>
      <w:r>
        <w:rPr>
          <w:rFonts w:ascii="Consolas" w:hAnsi="Consolas"/>
          <w:sz w:val="19"/>
        </w:rPr>
        <w:t>git clone &lt;repository-url&gt; vapt-cloud-scanner</w:t>
        <w:br/>
        <w:t>cd vapt-cloud-scanner</w:t>
      </w:r>
    </w:p>
    <w:p>
      <w:pPr>
        <w:pStyle w:val="Heading2"/>
      </w:pPr>
      <w:r>
        <w:rPr>
          <w:color w:val="305BAB"/>
        </w:rPr>
        <w:t>Step 2 — Generate production secrets</w:t>
      </w:r>
    </w:p>
    <w:p>
      <w:r>
        <w:rPr>
          <w:b w:val="0"/>
          <w:i w:val="0"/>
        </w:rPr>
        <w:t>Generate strong, unique values for every secret below. Do not reuse the values from any development environment.</w:t>
      </w:r>
    </w:p>
    <w:p>
      <w:pPr>
        <w:ind w:left="432"/>
        <w:shd w:val="clear" w:color="auto" w:fill="F2F2F2"/>
      </w:pPr>
      <w:r>
        <w:rPr>
          <w:rFonts w:ascii="Consolas" w:hAnsi="Consolas"/>
          <w:sz w:val="19"/>
        </w:rPr>
        <w:t>openssl rand -hex 32   # JWT_ACCESS_SECRET   (same value on cspm-api AND aspm-api AND agent-api)</w:t>
        <w:br/>
        <w:t>openssl rand -hex 32   # JWT_REFRESH_SECRET</w:t>
        <w:br/>
        <w:t>openssl rand -hex 32   # CREDENTIAL_ENCRYPTION_KEY  (must be exactly 64 hex characters)</w:t>
        <w:br/>
        <w:t>openssl rand -hex 24   # POSTGRES_PASSWORD</w:t>
        <w:br/>
        <w:t>openssl rand -hex 24   # REDIS_PASSWORD</w:t>
        <w:br/>
        <w:t>openssl rand -hex 24   # ZAP_API_KEY</w:t>
        <w:br/>
        <w:t>openssl rand -base64 20  # ADMIN_PASSWORD  (first-login admin account)</w:t>
      </w:r>
    </w:p>
    <w:p>
      <w:pPr>
        <w:pStyle w:val="Heading2"/>
      </w:pPr>
      <w:r>
        <w:rPr>
          <w:color w:val="305BAB"/>
        </w:rPr>
        <w:t>Step 3 — Decide: system environment variables vs .env file</w:t>
      </w:r>
    </w:p>
    <w:p>
      <w:r>
        <w:rPr>
          <w:b w:val="0"/>
          <w:i w:val="0"/>
        </w:rPr>
        <w:t>For production, move the following categories of secret OUT of the .env file and into real system/shell environment variables on the deployment host instead — this keeps them out of any plaintext file on disk (Docker Compose automatically prefers a system environment variable over a .env file value of the same name, so no other configuration changes are required to do this):</w:t>
      </w:r>
    </w:p>
    <w:p>
      <w:pPr>
        <w:pStyle w:val="ListBullet"/>
      </w:pPr>
      <w:r>
        <w:t>Database credentials: POSTGRES_USER, POSTGRES_PASSWORD, POSTGRES_DB, DATABASE_URL, ASPM_DATABASE_URL</w:t>
      </w:r>
    </w:p>
    <w:p>
      <w:pPr>
        <w:pStyle w:val="ListBullet"/>
      </w:pPr>
      <w:r>
        <w:t>Cache credentials: REDIS_PASSWORD, REDIS_URL</w:t>
      </w:r>
    </w:p>
    <w:p>
      <w:pPr>
        <w:pStyle w:val="ListBullet"/>
      </w:pPr>
      <w:r>
        <w:t>LLM provider API keys: OPENAI_API_KEY, ANTHROPIC_API_KEY, GROQ_API_KEY</w:t>
      </w:r>
    </w:p>
    <w:p>
      <w:r>
        <w:rPr>
          <w:b w:val="0"/>
          <w:i w:val="0"/>
        </w:rPr>
        <w:t>On a systemd-managed Linux host, the cleanest way to do this is an EnvironmentFile referenced by the unit that runs docker compose, or a root-only-readable env file sourced by the deploy script before every docker compose invocation — not the project's own .env, which the whole repo directory can read. See the example below.</w:t>
      </w:r>
    </w:p>
    <w:p>
      <w:pPr>
        <w:ind w:left="432"/>
        <w:shd w:val="clear" w:color="auto" w:fill="F2F2F2"/>
      </w:pPr>
      <w:r>
        <w:rPr>
          <w:rFonts w:ascii="Consolas" w:hAnsi="Consolas"/>
          <w:sz w:val="19"/>
        </w:rPr>
        <w:t># /etc/vapt-scanner/system.env  (chmod 600, owned by the deploy user)</w:t>
        <w:br/>
        <w:t>export POSTGRES_USER=scanner</w:t>
        <w:br/>
        <w:t>export POSTGRES_PASSWORD=&lt;generated&gt;</w:t>
        <w:br/>
        <w:t>export POSTGRES_DB=vapt</w:t>
        <w:br/>
        <w:t>export REDIS_PASSWORD=&lt;generated&gt;</w:t>
        <w:br/>
        <w:t>export DATABASE_URL=postgresql://scanner:&lt;generated&gt;@vapt-db:5432/vapt?schema=cspm</w:t>
        <w:br/>
        <w:t>export ASPM_DATABASE_URL=postgresql+psycopg://scanner:&lt;generated&gt;@vapt-db:5432/vapt</w:t>
        <w:br/>
        <w:t>export REDIS_URL=redis://:&lt;generated&gt;@vapt-redis:6379</w:t>
        <w:br/>
        <w:t>export OPENAI_API_KEY=&lt;your key&gt;</w:t>
        <w:br/>
        <w:t>export ANTHROPIC_API_KEY=&lt;your key&gt;</w:t>
        <w:br/>
        <w:t>export GROQ_API_KEY=&lt;your key&gt;</w:t>
        <w:br/>
        <w:br/>
        <w:t># Before every docker compose command:</w:t>
        <w:br/>
        <w:t>source /etc/vapt-scanner/system.env</w:t>
      </w:r>
    </w:p>
    <w:p>
      <w:pPr>
        <w:pStyle w:val="Heading2"/>
      </w:pPr>
      <w:r>
        <w:rPr>
          <w:color w:val="305BAB"/>
        </w:rPr>
        <w:t>Step 4 — Create the .env file</w:t>
      </w:r>
    </w:p>
    <w:p>
      <w:r>
        <w:rPr>
          <w:b w:val="0"/>
          <w:i w:val="0"/>
        </w:rPr>
        <w:t>Copy .env.example to .env in the repository root and fill in every remaining parameter listed in Section 5. If you followed Step 3, omit the variables you already exported as system environment variables — Compose will pick up the system value automatically and the .env file does not need to also define them.</w:t>
      </w:r>
    </w:p>
    <w:p>
      <w:pPr>
        <w:ind w:left="432"/>
        <w:shd w:val="clear" w:color="auto" w:fill="F2F2F2"/>
      </w:pPr>
      <w:r>
        <w:rPr>
          <w:rFonts w:ascii="Consolas" w:hAnsi="Consolas"/>
          <w:sz w:val="19"/>
        </w:rPr>
        <w:t>cp .env.example .env</w:t>
        <w:br/>
        <w:t>nano .env   # fill in every REQUIRED parameter from Section 5</w:t>
      </w:r>
    </w:p>
    <w:p>
      <w:pPr>
        <w:pStyle w:val="Heading2"/>
      </w:pPr>
      <w:r>
        <w:rPr>
          <w:color w:val="305BAB"/>
        </w:rPr>
        <w:t>Step 5 — Edit docker-compose.yml hardcoded production values</w:t>
      </w:r>
    </w:p>
    <w:p>
      <w:r>
        <w:rPr>
          <w:b w:val="0"/>
          <w:i w:val="0"/>
        </w:rPr>
        <w:t>A small number of values are hardcoded literals in docker-compose.yml rather than ${VARIABLE} substitutions, and must be edited directly in the file for a production deployment. See Section 6 for the full list and exact line context — at minimum, change CORS_ORIGIN (currently "http://localhost:8080") to your real public HTTPS URL on both the cspm-api and aspm-api service blocks, and set LLM_PROVIDER / AGENT_MODEL / JUDGE_PROVIDER / JUDGE_MODEL on the agent-api service block to your chosen provider.</w:t>
      </w:r>
    </w:p>
    <w:p>
      <w:pPr>
        <w:pStyle w:val="Heading2"/>
      </w:pPr>
      <w:r>
        <w:rPr>
          <w:color w:val="305BAB"/>
        </w:rPr>
        <w:t>Step 6 — Build and start the stack</w:t>
      </w:r>
    </w:p>
    <w:p>
      <w:pPr>
        <w:ind w:left="432"/>
        <w:shd w:val="clear" w:color="auto" w:fill="F2F2F2"/>
      </w:pPr>
      <w:r>
        <w:rPr>
          <w:rFonts w:ascii="Consolas" w:hAnsi="Consolas"/>
          <w:sz w:val="19"/>
        </w:rPr>
        <w:t>source /etc/vapt-scanner/system.env   # if using Step 3</w:t>
        <w:br/>
        <w:t>docker compose up -d --build</w:t>
      </w:r>
    </w:p>
    <w:p>
      <w:r>
        <w:rPr>
          <w:b w:val="0"/>
          <w:i w:val="0"/>
        </w:rPr>
        <w:t>The first build is large and network-heavy (aspm-api bakes in ~2.6 GB of scanner vulnerability databases). Allow time, disk, and outbound internet on the build host.</w:t>
      </w:r>
    </w:p>
    <w:p>
      <w:pPr>
        <w:pStyle w:val="Heading2"/>
      </w:pPr>
      <w:r>
        <w:rPr>
          <w:color w:val="305BAB"/>
        </w:rPr>
        <w:t>Step 7 — Verify all services report healthy</w:t>
      </w:r>
    </w:p>
    <w:p>
      <w:pPr>
        <w:ind w:left="432"/>
        <w:shd w:val="clear" w:color="auto" w:fill="F2F2F2"/>
      </w:pPr>
      <w:r>
        <w:rPr>
          <w:rFonts w:ascii="Consolas" w:hAnsi="Consolas"/>
          <w:sz w:val="19"/>
        </w:rPr>
        <w:t>docker compose ps</w:t>
      </w:r>
    </w:p>
    <w:p>
      <w:r>
        <w:rPr>
          <w:b w:val="0"/>
          <w:i w:val="0"/>
        </w:rPr>
        <w:t>All 7 containers (vapt-db, vapt-redis, vapt-zap, vapt-cspm-api, vapt-aspm-api, vapt-agent-api, vapt-web) should show a status of "healthy" within about a minute. web/aspm-api will not start until their dependencies report healthy, by design.</w:t>
      </w:r>
    </w:p>
    <w:p>
      <w:pPr>
        <w:pStyle w:val="Heading2"/>
      </w:pPr>
      <w:r>
        <w:rPr>
          <w:color w:val="305BAB"/>
        </w:rPr>
        <w:t>Step 8 — Put TLS in front of the stack</w:t>
      </w:r>
    </w:p>
    <w:p>
      <w:r>
        <w:rPr>
          <w:b w:val="0"/>
          <w:i w:val="0"/>
        </w:rPr>
        <w:t>The web container serves plain HTTP on port 8080 only. Place a TLS-terminating reverse proxy (nginx, Caddy, Traefik, or a cloud load balancer) in front of it, and do not expose port 8080 directly to the public internet. Point the reverse proxy's upstream at localhost:8080 (or the container's published port) and terminate HTTPS at the proxy.</w:t>
      </w:r>
    </w:p>
    <w:p>
      <w:pPr>
        <w:pStyle w:val="Heading2"/>
      </w:pPr>
      <w:r>
        <w:rPr>
          <w:color w:val="305BAB"/>
        </w:rPr>
        <w:t>Step 9 — First login and password rotation</w:t>
      </w:r>
    </w:p>
    <w:p>
      <w:r>
        <w:rPr>
          <w:b w:val="0"/>
          <w:i w:val="0"/>
        </w:rPr>
        <w:t>Log in at your public URL with the ADMIN_EMAIL / ADMIN_PASSWORD you generated in Step 2, then immediately rotate the password through the application's own account settings — changing ADMIN_PASSWORD in .env after the admin account already exists does not retroactively change its stored password.</w:t>
      </w:r>
    </w:p>
    <w:p>
      <w:pPr>
        <w:pStyle w:val="Heading2"/>
      </w:pPr>
      <w:r>
        <w:rPr>
          <w:color w:val="305BAB"/>
        </w:rPr>
        <w:t>Step 10 — Schedule backups and the health watchdog</w:t>
      </w:r>
    </w:p>
    <w:p>
      <w:r>
        <w:rPr>
          <w:b w:val="0"/>
          <w:i w:val="0"/>
        </w:rPr>
        <w:t>These are documented in full in Section 7 (Post-Deployment Steps) — both are one-command installers already included in the repository.</w:t>
      </w:r>
    </w:p>
    <w:p>
      <w:r>
        <w:br w:type="page"/>
      </w:r>
    </w:p>
    <w:p>
      <w:pPr>
        <w:pStyle w:val="Heading1"/>
      </w:pPr>
      <w:r>
        <w:rPr>
          <w:color w:val="1F2A44"/>
        </w:rPr>
        <w:t>4. Parameter Reference — System Environment Variables</w:t>
      </w:r>
    </w:p>
    <w:p>
      <w:r>
        <w:rPr>
          <w:b w:val="0"/>
          <w:i/>
        </w:rPr>
        <w:t>Recommended to be set as real system/shell environment variables rather than in .env, since these are the platform's most sensitive secrets (database access, cache access, and billed LLM API keys). Docker Compose automatically prefers a system environment variable over a .env file value of the same name — no other configuration change is required to move a variable from .env to the system environment.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305BAB"/>
          </w:tcPr>
          <w:p>
            <w:r>
              <w:rPr>
                <w:b/>
                <w:color w:val="FFFFFF"/>
              </w:rPr>
              <w:t>Variable</w:t>
            </w:r>
          </w:p>
        </w:tc>
        <w:tc>
          <w:tcPr>
            <w:tcW w:type="dxa" w:w="1584"/>
            <w:shd w:val="clear" w:color="auto" w:fill="305BAB"/>
          </w:tcPr>
          <w:p>
            <w:r>
              <w:rPr>
                <w:b/>
                <w:color w:val="FFFFFF"/>
              </w:rPr>
              <w:t>Required</w:t>
            </w:r>
          </w:p>
        </w:tc>
        <w:tc>
          <w:tcPr>
            <w:tcW w:type="dxa" w:w="4320"/>
            <w:shd w:val="clear" w:color="auto" w:fill="305BAB"/>
          </w:tcPr>
          <w:p>
            <w:r>
              <w:rPr>
                <w:b/>
                <w:color w:val="FFFFFF"/>
              </w:rPr>
              <w:t>Description</w:t>
            </w:r>
          </w:p>
        </w:tc>
        <w:tc>
          <w:tcPr>
            <w:tcW w:type="dxa" w:w="2880"/>
            <w:shd w:val="clear" w:color="auto" w:fill="305BAB"/>
          </w:tcPr>
          <w:p>
            <w:r>
              <w:rPr>
                <w:b/>
                <w:color w:val="FFFFFF"/>
              </w:rPr>
              <w:t>Example / How to generate</w:t>
            </w:r>
          </w:p>
        </w:tc>
      </w:tr>
      <w:tr>
        <w:tc>
          <w:tcPr>
            <w:tcW w:type="dxa" w:w="2160"/>
          </w:tcPr>
          <w:p>
            <w:pPr>
              <w:spacing w:after="40"/>
            </w:pPr>
            <w:r>
              <w:rPr>
                <w:sz w:val="19"/>
              </w:rPr>
              <w:t>POSTGRES_USER</w:t>
            </w:r>
          </w:p>
        </w:tc>
        <w:tc>
          <w:tcPr>
            <w:tcW w:type="dxa" w:w="1584"/>
          </w:tcPr>
          <w:p>
            <w:pPr>
              <w:spacing w:after="40"/>
            </w:pPr>
            <w:r>
              <w:rPr>
                <w:sz w:val="19"/>
              </w:rPr>
              <w:t>Yes</w:t>
            </w:r>
          </w:p>
        </w:tc>
        <w:tc>
          <w:tcPr>
            <w:tcW w:type="dxa" w:w="4320"/>
          </w:tcPr>
          <w:p>
            <w:pPr>
              <w:spacing w:after="40"/>
            </w:pPr>
            <w:r>
              <w:rPr>
                <w:sz w:val="19"/>
              </w:rPr>
              <w:t>Postgres role name for the bundled database container.</w:t>
            </w:r>
          </w:p>
        </w:tc>
        <w:tc>
          <w:tcPr>
            <w:tcW w:type="dxa" w:w="2880"/>
          </w:tcPr>
          <w:p>
            <w:pPr>
              <w:spacing w:after="40"/>
            </w:pPr>
            <w:r>
              <w:rPr>
                <w:sz w:val="19"/>
              </w:rPr>
              <w:t>scanner</w:t>
            </w:r>
          </w:p>
        </w:tc>
      </w:tr>
      <w:tr>
        <w:tc>
          <w:tcPr>
            <w:tcW w:type="dxa" w:w="2160"/>
          </w:tcPr>
          <w:p>
            <w:pPr>
              <w:spacing w:after="40"/>
            </w:pPr>
            <w:r>
              <w:rPr>
                <w:sz w:val="19"/>
              </w:rPr>
              <w:t>POSTGRES_PASSWORD</w:t>
            </w:r>
          </w:p>
        </w:tc>
        <w:tc>
          <w:tcPr>
            <w:tcW w:type="dxa" w:w="1584"/>
          </w:tcPr>
          <w:p>
            <w:pPr>
              <w:spacing w:after="40"/>
            </w:pPr>
            <w:r>
              <w:rPr>
                <w:sz w:val="19"/>
              </w:rPr>
              <w:t>Yes</w:t>
            </w:r>
          </w:p>
        </w:tc>
        <w:tc>
          <w:tcPr>
            <w:tcW w:type="dxa" w:w="4320"/>
          </w:tcPr>
          <w:p>
            <w:pPr>
              <w:spacing w:after="40"/>
            </w:pPr>
            <w:r>
              <w:rPr>
                <w:sz w:val="19"/>
              </w:rPr>
              <w:t>Password for POSTGRES_USER. Generate with openssl rand -hex 24.</w:t>
            </w:r>
          </w:p>
        </w:tc>
        <w:tc>
          <w:tcPr>
            <w:tcW w:type="dxa" w:w="2880"/>
          </w:tcPr>
          <w:p>
            <w:pPr>
              <w:spacing w:after="40"/>
            </w:pPr>
            <w:r>
              <w:rPr>
                <w:sz w:val="19"/>
              </w:rPr>
              <w:t>(generated)</w:t>
            </w:r>
          </w:p>
        </w:tc>
      </w:tr>
      <w:tr>
        <w:tc>
          <w:tcPr>
            <w:tcW w:type="dxa" w:w="2160"/>
          </w:tcPr>
          <w:p>
            <w:pPr>
              <w:spacing w:after="40"/>
            </w:pPr>
            <w:r>
              <w:rPr>
                <w:sz w:val="19"/>
              </w:rPr>
              <w:t>POSTGRES_DB</w:t>
            </w:r>
          </w:p>
        </w:tc>
        <w:tc>
          <w:tcPr>
            <w:tcW w:type="dxa" w:w="1584"/>
          </w:tcPr>
          <w:p>
            <w:pPr>
              <w:spacing w:after="40"/>
            </w:pPr>
            <w:r>
              <w:rPr>
                <w:sz w:val="19"/>
              </w:rPr>
              <w:t>No (default: vapt)</w:t>
            </w:r>
          </w:p>
        </w:tc>
        <w:tc>
          <w:tcPr>
            <w:tcW w:type="dxa" w:w="4320"/>
          </w:tcPr>
          <w:p>
            <w:pPr>
              <w:spacing w:after="40"/>
            </w:pPr>
            <w:r>
              <w:rPr>
                <w:sz w:val="19"/>
              </w:rPr>
              <w:t>Database name.</w:t>
            </w:r>
          </w:p>
        </w:tc>
        <w:tc>
          <w:tcPr>
            <w:tcW w:type="dxa" w:w="2880"/>
          </w:tcPr>
          <w:p>
            <w:pPr>
              <w:spacing w:after="40"/>
            </w:pPr>
            <w:r>
              <w:rPr>
                <w:sz w:val="19"/>
              </w:rPr>
              <w:t>vapt</w:t>
            </w:r>
          </w:p>
        </w:tc>
      </w:tr>
      <w:tr>
        <w:tc>
          <w:tcPr>
            <w:tcW w:type="dxa" w:w="2160"/>
          </w:tcPr>
          <w:p>
            <w:pPr>
              <w:spacing w:after="40"/>
            </w:pPr>
            <w:r>
              <w:rPr>
                <w:sz w:val="19"/>
              </w:rPr>
              <w:t>REDIS_PASSWORD</w:t>
            </w:r>
          </w:p>
        </w:tc>
        <w:tc>
          <w:tcPr>
            <w:tcW w:type="dxa" w:w="1584"/>
          </w:tcPr>
          <w:p>
            <w:pPr>
              <w:spacing w:after="40"/>
            </w:pPr>
            <w:r>
              <w:rPr>
                <w:sz w:val="19"/>
              </w:rPr>
              <w:t>Yes</w:t>
            </w:r>
          </w:p>
        </w:tc>
        <w:tc>
          <w:tcPr>
            <w:tcW w:type="dxa" w:w="4320"/>
          </w:tcPr>
          <w:p>
            <w:pPr>
              <w:spacing w:after="40"/>
            </w:pPr>
            <w:r>
              <w:rPr>
                <w:sz w:val="19"/>
              </w:rPr>
              <w:t>Password for the bundled Redis container (BullMQ job queues).</w:t>
            </w:r>
          </w:p>
        </w:tc>
        <w:tc>
          <w:tcPr>
            <w:tcW w:type="dxa" w:w="2880"/>
          </w:tcPr>
          <w:p>
            <w:pPr>
              <w:spacing w:after="40"/>
            </w:pPr>
            <w:r>
              <w:rPr>
                <w:sz w:val="19"/>
              </w:rPr>
              <w:t>(generated)</w:t>
            </w:r>
          </w:p>
        </w:tc>
      </w:tr>
      <w:tr>
        <w:tc>
          <w:tcPr>
            <w:tcW w:type="dxa" w:w="2160"/>
          </w:tcPr>
          <w:p>
            <w:pPr>
              <w:spacing w:after="40"/>
            </w:pPr>
            <w:r>
              <w:rPr>
                <w:sz w:val="19"/>
              </w:rPr>
              <w:t>DATABASE_URL</w:t>
            </w:r>
          </w:p>
        </w:tc>
        <w:tc>
          <w:tcPr>
            <w:tcW w:type="dxa" w:w="1584"/>
          </w:tcPr>
          <w:p>
            <w:pPr>
              <w:spacing w:after="40"/>
            </w:pPr>
            <w:r>
              <w:rPr>
                <w:sz w:val="19"/>
              </w:rPr>
              <w:t>Yes</w:t>
            </w:r>
          </w:p>
        </w:tc>
        <w:tc>
          <w:tcPr>
            <w:tcW w:type="dxa" w:w="4320"/>
          </w:tcPr>
          <w:p>
            <w:pPr>
              <w:spacing w:after="40"/>
            </w:pPr>
            <w:r>
              <w:rPr>
                <w:sz w:val="19"/>
              </w:rPr>
              <w:t>cspm-api's full Postgres connection string, schema=cspm. Must use the same credentials as POSTGRES_USER/PASSWORD above.</w:t>
            </w:r>
          </w:p>
        </w:tc>
        <w:tc>
          <w:tcPr>
            <w:tcW w:type="dxa" w:w="2880"/>
          </w:tcPr>
          <w:p>
            <w:pPr>
              <w:spacing w:after="40"/>
            </w:pPr>
            <w:r>
              <w:rPr>
                <w:sz w:val="19"/>
              </w:rPr>
              <w:t>postgresql://scanner:&lt;pw&gt;@vapt-db:5432/vapt?schema=cspm</w:t>
            </w:r>
          </w:p>
        </w:tc>
      </w:tr>
      <w:tr>
        <w:tc>
          <w:tcPr>
            <w:tcW w:type="dxa" w:w="2160"/>
          </w:tcPr>
          <w:p>
            <w:pPr>
              <w:spacing w:after="40"/>
            </w:pPr>
            <w:r>
              <w:rPr>
                <w:sz w:val="19"/>
              </w:rPr>
              <w:t>ASPM_DATABASE_URL</w:t>
            </w:r>
          </w:p>
        </w:tc>
        <w:tc>
          <w:tcPr>
            <w:tcW w:type="dxa" w:w="1584"/>
          </w:tcPr>
          <w:p>
            <w:pPr>
              <w:spacing w:after="40"/>
            </w:pPr>
            <w:r>
              <w:rPr>
                <w:sz w:val="19"/>
              </w:rPr>
              <w:t>Yes</w:t>
            </w:r>
          </w:p>
        </w:tc>
        <w:tc>
          <w:tcPr>
            <w:tcW w:type="dxa" w:w="4320"/>
          </w:tcPr>
          <w:p>
            <w:pPr>
              <w:spacing w:after="40"/>
            </w:pPr>
            <w:r>
              <w:rPr>
                <w:sz w:val="19"/>
              </w:rPr>
              <w:t>aspm-api's full Postgres connection string (psycopg driver), same underlying database as DATABASE_URL.</w:t>
            </w:r>
          </w:p>
        </w:tc>
        <w:tc>
          <w:tcPr>
            <w:tcW w:type="dxa" w:w="2880"/>
          </w:tcPr>
          <w:p>
            <w:pPr>
              <w:spacing w:after="40"/>
            </w:pPr>
            <w:r>
              <w:rPr>
                <w:sz w:val="19"/>
              </w:rPr>
              <w:t>postgresql+psycopg://scanner:&lt;pw&gt;@vapt-db:5432/vapt</w:t>
            </w:r>
          </w:p>
        </w:tc>
      </w:tr>
      <w:tr>
        <w:tc>
          <w:tcPr>
            <w:tcW w:type="dxa" w:w="2160"/>
          </w:tcPr>
          <w:p>
            <w:pPr>
              <w:spacing w:after="40"/>
            </w:pPr>
            <w:r>
              <w:rPr>
                <w:sz w:val="19"/>
              </w:rPr>
              <w:t>REDIS_URL</w:t>
            </w:r>
          </w:p>
        </w:tc>
        <w:tc>
          <w:tcPr>
            <w:tcW w:type="dxa" w:w="1584"/>
          </w:tcPr>
          <w:p>
            <w:pPr>
              <w:spacing w:after="40"/>
            </w:pPr>
            <w:r>
              <w:rPr>
                <w:sz w:val="19"/>
              </w:rPr>
              <w:t>Yes</w:t>
            </w:r>
          </w:p>
        </w:tc>
        <w:tc>
          <w:tcPr>
            <w:tcW w:type="dxa" w:w="4320"/>
          </w:tcPr>
          <w:p>
            <w:pPr>
              <w:spacing w:after="40"/>
            </w:pPr>
            <w:r>
              <w:rPr>
                <w:sz w:val="19"/>
              </w:rPr>
              <w:t>cspm-api's full Redis connection string. Must use the same password as REDIS_PASSWORD above.</w:t>
            </w:r>
          </w:p>
        </w:tc>
        <w:tc>
          <w:tcPr>
            <w:tcW w:type="dxa" w:w="2880"/>
          </w:tcPr>
          <w:p>
            <w:pPr>
              <w:spacing w:after="40"/>
            </w:pPr>
            <w:r>
              <w:rPr>
                <w:sz w:val="19"/>
              </w:rPr>
              <w:t>redis://:&lt;pw&gt;@vapt-redis:6379</w:t>
            </w:r>
          </w:p>
        </w:tc>
      </w:tr>
      <w:tr>
        <w:tc>
          <w:tcPr>
            <w:tcW w:type="dxa" w:w="2160"/>
          </w:tcPr>
          <w:p>
            <w:pPr>
              <w:spacing w:after="40"/>
            </w:pPr>
            <w:r>
              <w:rPr>
                <w:sz w:val="19"/>
              </w:rPr>
              <w:t>OPENAI_API_KEY</w:t>
            </w:r>
          </w:p>
        </w:tc>
        <w:tc>
          <w:tcPr>
            <w:tcW w:type="dxa" w:w="1584"/>
          </w:tcPr>
          <w:p>
            <w:pPr>
              <w:spacing w:after="40"/>
            </w:pPr>
            <w:r>
              <w:rPr>
                <w:sz w:val="19"/>
              </w:rPr>
              <w:t>Only if LLM_PROVIDER or JUDGE_PROVIDER = openai</w:t>
            </w:r>
          </w:p>
        </w:tc>
        <w:tc>
          <w:tcPr>
            <w:tcW w:type="dxa" w:w="4320"/>
          </w:tcPr>
          <w:p>
            <w:pPr>
              <w:spacing w:after="40"/>
            </w:pPr>
            <w:r>
              <w:rPr>
                <w:sz w:val="19"/>
              </w:rPr>
              <w:t>Billed API key for agent-api's AI triage calls.</w:t>
            </w:r>
          </w:p>
        </w:tc>
        <w:tc>
          <w:tcPr>
            <w:tcW w:type="dxa" w:w="2880"/>
          </w:tcPr>
          <w:p>
            <w:pPr>
              <w:spacing w:after="40"/>
            </w:pPr>
            <w:r>
              <w:rPr>
                <w:sz w:val="19"/>
              </w:rPr>
              <w:t>sk-proj-...</w:t>
            </w:r>
          </w:p>
        </w:tc>
      </w:tr>
      <w:tr>
        <w:tc>
          <w:tcPr>
            <w:tcW w:type="dxa" w:w="2160"/>
          </w:tcPr>
          <w:p>
            <w:pPr>
              <w:spacing w:after="40"/>
            </w:pPr>
            <w:r>
              <w:rPr>
                <w:sz w:val="19"/>
              </w:rPr>
              <w:t>ANTHROPIC_API_KEY</w:t>
            </w:r>
          </w:p>
        </w:tc>
        <w:tc>
          <w:tcPr>
            <w:tcW w:type="dxa" w:w="1584"/>
          </w:tcPr>
          <w:p>
            <w:pPr>
              <w:spacing w:after="40"/>
            </w:pPr>
            <w:r>
              <w:rPr>
                <w:sz w:val="19"/>
              </w:rPr>
              <w:t>Only if LLM_PROVIDER or JUDGE_PROVIDER = anthropic</w:t>
            </w:r>
          </w:p>
        </w:tc>
        <w:tc>
          <w:tcPr>
            <w:tcW w:type="dxa" w:w="4320"/>
          </w:tcPr>
          <w:p>
            <w:pPr>
              <w:spacing w:after="40"/>
            </w:pPr>
            <w:r>
              <w:rPr>
                <w:sz w:val="19"/>
              </w:rPr>
              <w:t>Billed API key for agent-api's AI triage calls.</w:t>
            </w:r>
          </w:p>
        </w:tc>
        <w:tc>
          <w:tcPr>
            <w:tcW w:type="dxa" w:w="2880"/>
          </w:tcPr>
          <w:p>
            <w:pPr>
              <w:spacing w:after="40"/>
            </w:pPr>
            <w:r>
              <w:rPr>
                <w:sz w:val="19"/>
              </w:rPr>
              <w:t>sk-ant-...</w:t>
            </w:r>
          </w:p>
        </w:tc>
      </w:tr>
      <w:tr>
        <w:tc>
          <w:tcPr>
            <w:tcW w:type="dxa" w:w="2160"/>
          </w:tcPr>
          <w:p>
            <w:pPr>
              <w:spacing w:after="40"/>
            </w:pPr>
            <w:r>
              <w:rPr>
                <w:sz w:val="19"/>
              </w:rPr>
              <w:t>GROQ_API_KEY</w:t>
            </w:r>
          </w:p>
        </w:tc>
        <w:tc>
          <w:tcPr>
            <w:tcW w:type="dxa" w:w="1584"/>
          </w:tcPr>
          <w:p>
            <w:pPr>
              <w:spacing w:after="40"/>
            </w:pPr>
            <w:r>
              <w:rPr>
                <w:sz w:val="19"/>
              </w:rPr>
              <w:t>Only if LLM_PROVIDER or JUDGE_PROVIDER = groq</w:t>
            </w:r>
          </w:p>
        </w:tc>
        <w:tc>
          <w:tcPr>
            <w:tcW w:type="dxa" w:w="4320"/>
          </w:tcPr>
          <w:p>
            <w:pPr>
              <w:spacing w:after="40"/>
            </w:pPr>
            <w:r>
              <w:rPr>
                <w:sz w:val="19"/>
              </w:rPr>
              <w:t>Billed API key for agent-api's AI triage calls.</w:t>
            </w:r>
          </w:p>
        </w:tc>
        <w:tc>
          <w:tcPr>
            <w:tcW w:type="dxa" w:w="2880"/>
          </w:tcPr>
          <w:p>
            <w:pPr>
              <w:spacing w:after="40"/>
            </w:pPr>
            <w:r>
              <w:rPr>
                <w:sz w:val="19"/>
              </w:rPr>
              <w:t>gsk_...</w:t>
            </w:r>
          </w:p>
        </w:tc>
      </w:tr>
    </w:tbl>
    <w:p/>
    <w:p>
      <w:r>
        <w:br w:type="page"/>
      </w:r>
    </w:p>
    <w:p>
      <w:pPr>
        <w:pStyle w:val="Heading1"/>
      </w:pPr>
      <w:r>
        <w:rPr>
          <w:color w:val="1F2A44"/>
        </w:rPr>
        <w:t>5. Parameter Reference — .env File</w:t>
      </w:r>
    </w:p>
    <w:p>
      <w:r>
        <w:rPr>
          <w:b w:val="0"/>
          <w:i/>
        </w:rPr>
        <w:t>Everything below lives in the .env file at the repository root, next to docker-compose.yml (Compose reads it automatically). Omit any variable you moved to the system environment per Section 4 — Compose will still resolve it correctly.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color="auto" w:fill="305BAB"/>
          </w:tcPr>
          <w:p>
            <w:r>
              <w:rPr>
                <w:b/>
                <w:color w:val="FFFFFF"/>
              </w:rPr>
              <w:t>Variable</w:t>
            </w:r>
          </w:p>
        </w:tc>
        <w:tc>
          <w:tcPr>
            <w:tcW w:type="dxa" w:w="2016"/>
            <w:shd w:val="clear" w:color="auto" w:fill="305BAB"/>
          </w:tcPr>
          <w:p>
            <w:r>
              <w:rPr>
                <w:b/>
                <w:color w:val="FFFFFF"/>
              </w:rPr>
              <w:t>Required</w:t>
            </w:r>
          </w:p>
        </w:tc>
        <w:tc>
          <w:tcPr>
            <w:tcW w:type="dxa" w:w="4464"/>
            <w:shd w:val="clear" w:color="auto" w:fill="305BAB"/>
          </w:tcPr>
          <w:p>
            <w:r>
              <w:rPr>
                <w:b/>
                <w:color w:val="FFFFFF"/>
              </w:rPr>
              <w:t>Description</w:t>
            </w:r>
          </w:p>
        </w:tc>
        <w:tc>
          <w:tcPr>
            <w:tcW w:type="dxa" w:w="2304"/>
            <w:shd w:val="clear" w:color="auto" w:fill="305BAB"/>
          </w:tcPr>
          <w:p>
            <w:r>
              <w:rPr>
                <w:b/>
                <w:color w:val="FFFFFF"/>
              </w:rPr>
              <w:t>Example</w:t>
            </w:r>
          </w:p>
        </w:tc>
      </w:tr>
      <w:tr>
        <w:tc>
          <w:tcPr>
            <w:tcW w:type="dxa" w:w="2304"/>
          </w:tcPr>
          <w:p>
            <w:pPr>
              <w:spacing w:after="40"/>
            </w:pPr>
            <w:r>
              <w:rPr>
                <w:sz w:val="19"/>
              </w:rPr>
              <w:t>JWT_ACCESS_SECRET</w:t>
            </w:r>
          </w:p>
        </w:tc>
        <w:tc>
          <w:tcPr>
            <w:tcW w:type="dxa" w:w="2016"/>
          </w:tcPr>
          <w:p>
            <w:pPr>
              <w:spacing w:after="40"/>
            </w:pPr>
            <w:r>
              <w:rPr>
                <w:sz w:val="19"/>
              </w:rPr>
              <w:t>Yes</w:t>
            </w:r>
          </w:p>
        </w:tc>
        <w:tc>
          <w:tcPr>
            <w:tcW w:type="dxa" w:w="4464"/>
          </w:tcPr>
          <w:p>
            <w:pPr>
              <w:spacing w:after="40"/>
            </w:pPr>
            <w:r>
              <w:rPr>
                <w:sz w:val="19"/>
              </w:rPr>
              <w:t>Shared secret used to sign/verify the single login JWT across cspm-api, aspm-api, and agent-api. MUST be identical on all three. Generate with openssl rand -hex 32.</w:t>
            </w:r>
          </w:p>
        </w:tc>
        <w:tc>
          <w:tcPr>
            <w:tcW w:type="dxa" w:w="2304"/>
          </w:tcPr>
          <w:p>
            <w:pPr>
              <w:spacing w:after="40"/>
            </w:pPr>
            <w:r>
              <w:rPr>
                <w:sz w:val="19"/>
              </w:rPr>
              <w:t>(generated)</w:t>
            </w:r>
          </w:p>
        </w:tc>
      </w:tr>
      <w:tr>
        <w:tc>
          <w:tcPr>
            <w:tcW w:type="dxa" w:w="2304"/>
          </w:tcPr>
          <w:p>
            <w:pPr>
              <w:spacing w:after="40"/>
            </w:pPr>
            <w:r>
              <w:rPr>
                <w:sz w:val="19"/>
              </w:rPr>
              <w:t>JWT_REFRESH_SECRET</w:t>
            </w:r>
          </w:p>
        </w:tc>
        <w:tc>
          <w:tcPr>
            <w:tcW w:type="dxa" w:w="2016"/>
          </w:tcPr>
          <w:p>
            <w:pPr>
              <w:spacing w:after="40"/>
            </w:pPr>
            <w:r>
              <w:rPr>
                <w:sz w:val="19"/>
              </w:rPr>
              <w:t>Yes</w:t>
            </w:r>
          </w:p>
        </w:tc>
        <w:tc>
          <w:tcPr>
            <w:tcW w:type="dxa" w:w="4464"/>
          </w:tcPr>
          <w:p>
            <w:pPr>
              <w:spacing w:after="40"/>
            </w:pPr>
            <w:r>
              <w:rPr>
                <w:sz w:val="19"/>
              </w:rPr>
              <w:t>Refresh-token signing secret (cspm-api only). Generate with openssl rand -hex 32.</w:t>
            </w:r>
          </w:p>
        </w:tc>
        <w:tc>
          <w:tcPr>
            <w:tcW w:type="dxa" w:w="2304"/>
          </w:tcPr>
          <w:p>
            <w:pPr>
              <w:spacing w:after="40"/>
            </w:pPr>
            <w:r>
              <w:rPr>
                <w:sz w:val="19"/>
              </w:rPr>
              <w:t>(generated)</w:t>
            </w:r>
          </w:p>
        </w:tc>
      </w:tr>
      <w:tr>
        <w:tc>
          <w:tcPr>
            <w:tcW w:type="dxa" w:w="2304"/>
          </w:tcPr>
          <w:p>
            <w:pPr>
              <w:spacing w:after="40"/>
            </w:pPr>
            <w:r>
              <w:rPr>
                <w:sz w:val="19"/>
              </w:rPr>
              <w:t>CREDENTIAL_ENCRYPTION_KEY</w:t>
            </w:r>
          </w:p>
        </w:tc>
        <w:tc>
          <w:tcPr>
            <w:tcW w:type="dxa" w:w="2016"/>
          </w:tcPr>
          <w:p>
            <w:pPr>
              <w:spacing w:after="40"/>
            </w:pPr>
            <w:r>
              <w:rPr>
                <w:sz w:val="19"/>
              </w:rPr>
              <w:t>Yes</w:t>
            </w:r>
          </w:p>
        </w:tc>
        <w:tc>
          <w:tcPr>
            <w:tcW w:type="dxa" w:w="4464"/>
          </w:tcPr>
          <w:p>
            <w:pPr>
              <w:spacing w:after="40"/>
            </w:pPr>
            <w:r>
              <w:rPr>
                <w:sz w:val="19"/>
              </w:rPr>
              <w:t>Encrypts stored cloud provider credentials (AWS/Azure/GCP keys) at rest. Must be exactly 64 hex characters.</w:t>
            </w:r>
          </w:p>
        </w:tc>
        <w:tc>
          <w:tcPr>
            <w:tcW w:type="dxa" w:w="2304"/>
          </w:tcPr>
          <w:p>
            <w:pPr>
              <w:spacing w:after="40"/>
            </w:pPr>
            <w:r>
              <w:rPr>
                <w:sz w:val="19"/>
              </w:rPr>
              <w:t>(generated)</w:t>
            </w:r>
          </w:p>
        </w:tc>
      </w:tr>
      <w:tr>
        <w:tc>
          <w:tcPr>
            <w:tcW w:type="dxa" w:w="2304"/>
          </w:tcPr>
          <w:p>
            <w:pPr>
              <w:spacing w:after="40"/>
            </w:pPr>
            <w:r>
              <w:rPr>
                <w:sz w:val="19"/>
              </w:rPr>
              <w:t>ADMIN_EMAIL</w:t>
            </w:r>
          </w:p>
        </w:tc>
        <w:tc>
          <w:tcPr>
            <w:tcW w:type="dxa" w:w="2016"/>
          </w:tcPr>
          <w:p>
            <w:pPr>
              <w:spacing w:after="40"/>
            </w:pPr>
            <w:r>
              <w:rPr>
                <w:sz w:val="19"/>
              </w:rPr>
              <w:t>Yes</w:t>
            </w:r>
          </w:p>
        </w:tc>
        <w:tc>
          <w:tcPr>
            <w:tcW w:type="dxa" w:w="4464"/>
          </w:tcPr>
          <w:p>
            <w:pPr>
              <w:spacing w:after="40"/>
            </w:pPr>
            <w:r>
              <w:rPr>
                <w:sz w:val="19"/>
              </w:rPr>
              <w:t>First-login admin account email. Only used to seed the admin user when the users table is empty.</w:t>
            </w:r>
          </w:p>
        </w:tc>
        <w:tc>
          <w:tcPr>
            <w:tcW w:type="dxa" w:w="2304"/>
          </w:tcPr>
          <w:p>
            <w:pPr>
              <w:spacing w:after="40"/>
            </w:pPr>
            <w:r>
              <w:rPr>
                <w:sz w:val="19"/>
              </w:rPr>
              <w:t>admin@yourcompany.com</w:t>
            </w:r>
          </w:p>
        </w:tc>
      </w:tr>
      <w:tr>
        <w:tc>
          <w:tcPr>
            <w:tcW w:type="dxa" w:w="2304"/>
          </w:tcPr>
          <w:p>
            <w:pPr>
              <w:spacing w:after="40"/>
            </w:pPr>
            <w:r>
              <w:rPr>
                <w:sz w:val="19"/>
              </w:rPr>
              <w:t>ADMIN_PASSWORD</w:t>
            </w:r>
          </w:p>
        </w:tc>
        <w:tc>
          <w:tcPr>
            <w:tcW w:type="dxa" w:w="2016"/>
          </w:tcPr>
          <w:p>
            <w:pPr>
              <w:spacing w:after="40"/>
            </w:pPr>
            <w:r>
              <w:rPr>
                <w:sz w:val="19"/>
              </w:rPr>
              <w:t>Yes</w:t>
            </w:r>
          </w:p>
        </w:tc>
        <w:tc>
          <w:tcPr>
            <w:tcW w:type="dxa" w:w="4464"/>
          </w:tcPr>
          <w:p>
            <w:pPr>
              <w:spacing w:after="40"/>
            </w:pPr>
            <w:r>
              <w:rPr>
                <w:sz w:val="19"/>
              </w:rPr>
              <w:t>First-login admin account password. Rotate via the app's own account settings after first login.</w:t>
            </w:r>
          </w:p>
        </w:tc>
        <w:tc>
          <w:tcPr>
            <w:tcW w:type="dxa" w:w="2304"/>
          </w:tcPr>
          <w:p>
            <w:pPr>
              <w:spacing w:after="40"/>
            </w:pPr>
            <w:r>
              <w:rPr>
                <w:sz w:val="19"/>
              </w:rPr>
              <w:t>(generated)</w:t>
            </w:r>
          </w:p>
        </w:tc>
      </w:tr>
      <w:tr>
        <w:tc>
          <w:tcPr>
            <w:tcW w:type="dxa" w:w="2304"/>
          </w:tcPr>
          <w:p>
            <w:pPr>
              <w:spacing w:after="40"/>
            </w:pPr>
            <w:r>
              <w:rPr>
                <w:sz w:val="19"/>
              </w:rPr>
              <w:t>ZAP_API_KEY</w:t>
            </w:r>
          </w:p>
        </w:tc>
        <w:tc>
          <w:tcPr>
            <w:tcW w:type="dxa" w:w="2016"/>
          </w:tcPr>
          <w:p>
            <w:pPr>
              <w:spacing w:after="40"/>
            </w:pPr>
            <w:r>
              <w:rPr>
                <w:sz w:val="19"/>
              </w:rPr>
              <w:t>Yes</w:t>
            </w:r>
          </w:p>
        </w:tc>
        <w:tc>
          <w:tcPr>
            <w:tcW w:type="dxa" w:w="4464"/>
          </w:tcPr>
          <w:p>
            <w:pPr>
              <w:spacing w:after="40"/>
            </w:pPr>
            <w:r>
              <w:rPr>
                <w:sz w:val="19"/>
              </w:rPr>
              <w:t>API key the bundled ZAP daemon requires on every call. Must match between the zap and aspm-api service definitions (both read this same variable).</w:t>
            </w:r>
          </w:p>
        </w:tc>
        <w:tc>
          <w:tcPr>
            <w:tcW w:type="dxa" w:w="2304"/>
          </w:tcPr>
          <w:p>
            <w:pPr>
              <w:spacing w:after="40"/>
            </w:pPr>
            <w:r>
              <w:rPr>
                <w:sz w:val="19"/>
              </w:rPr>
              <w:t>(generated)</w:t>
            </w:r>
          </w:p>
        </w:tc>
      </w:tr>
      <w:tr>
        <w:tc>
          <w:tcPr>
            <w:tcW w:type="dxa" w:w="2304"/>
          </w:tcPr>
          <w:p>
            <w:pPr>
              <w:spacing w:after="40"/>
            </w:pPr>
            <w:r>
              <w:rPr>
                <w:sz w:val="19"/>
              </w:rPr>
              <w:t>ZAP_PROXY</w:t>
            </w:r>
          </w:p>
        </w:tc>
        <w:tc>
          <w:tcPr>
            <w:tcW w:type="dxa" w:w="2016"/>
          </w:tcPr>
          <w:p>
            <w:pPr>
              <w:spacing w:after="40"/>
            </w:pPr>
            <w:r>
              <w:rPr>
                <w:sz w:val="19"/>
              </w:rPr>
              <w:t>No (default matches bundled ZAP)</w:t>
            </w:r>
          </w:p>
        </w:tc>
        <w:tc>
          <w:tcPr>
            <w:tcW w:type="dxa" w:w="4464"/>
          </w:tcPr>
          <w:p>
            <w:pPr>
              <w:spacing w:after="40"/>
            </w:pPr>
            <w:r>
              <w:rPr>
                <w:sz w:val="19"/>
              </w:rPr>
              <w:t>URL aspm-api uses to reach the ZAP daemon.</w:t>
            </w:r>
          </w:p>
        </w:tc>
        <w:tc>
          <w:tcPr>
            <w:tcW w:type="dxa" w:w="2304"/>
          </w:tcPr>
          <w:p>
            <w:pPr>
              <w:spacing w:after="40"/>
            </w:pPr>
            <w:r>
              <w:rPr>
                <w:sz w:val="19"/>
              </w:rPr>
              <w:t>http://vapt-zap:8090</w:t>
            </w:r>
          </w:p>
        </w:tc>
      </w:tr>
      <w:tr>
        <w:tc>
          <w:tcPr>
            <w:tcW w:type="dxa" w:w="2304"/>
          </w:tcPr>
          <w:p>
            <w:pPr>
              <w:spacing w:after="40"/>
            </w:pPr>
            <w:r>
              <w:rPr>
                <w:sz w:val="19"/>
              </w:rPr>
              <w:t>OLLAMA_BASE_URL</w:t>
            </w:r>
          </w:p>
        </w:tc>
        <w:tc>
          <w:tcPr>
            <w:tcW w:type="dxa" w:w="2016"/>
          </w:tcPr>
          <w:p>
            <w:pPr>
              <w:spacing w:after="40"/>
            </w:pPr>
            <w:r>
              <w:rPr>
                <w:sz w:val="19"/>
              </w:rPr>
              <w:t>Only if using Ollama (local or fallback)</w:t>
            </w:r>
          </w:p>
        </w:tc>
        <w:tc>
          <w:tcPr>
            <w:tcW w:type="dxa" w:w="4464"/>
          </w:tcPr>
          <w:p>
            <w:pPr>
              <w:spacing w:after="40"/>
            </w:pPr>
            <w:r>
              <w:rPr>
                <w:sz w:val="19"/>
              </w:rPr>
              <w:t>Reachable Ollama instance for local-LLM triage and/or the fallback path.</w:t>
            </w:r>
          </w:p>
        </w:tc>
        <w:tc>
          <w:tcPr>
            <w:tcW w:type="dxa" w:w="2304"/>
          </w:tcPr>
          <w:p>
            <w:pPr>
              <w:spacing w:after="40"/>
            </w:pPr>
            <w:r>
              <w:rPr>
                <w:sz w:val="19"/>
              </w:rPr>
              <w:t>http://host.docker.internal:11434</w:t>
            </w:r>
          </w:p>
        </w:tc>
      </w:tr>
      <w:tr>
        <w:tc>
          <w:tcPr>
            <w:tcW w:type="dxa" w:w="2304"/>
          </w:tcPr>
          <w:p>
            <w:pPr>
              <w:spacing w:after="40"/>
            </w:pPr>
            <w:r>
              <w:rPr>
                <w:sz w:val="19"/>
              </w:rPr>
              <w:t>OLLAMA_FALLBACK_ENABLED</w:t>
            </w:r>
          </w:p>
        </w:tc>
        <w:tc>
          <w:tcPr>
            <w:tcW w:type="dxa" w:w="2016"/>
          </w:tcPr>
          <w:p>
            <w:pPr>
              <w:spacing w:after="40"/>
            </w:pPr>
            <w:r>
              <w:rPr>
                <w:sz w:val="19"/>
              </w:rPr>
              <w:t>No (default: true, hardcoded in compose)</w:t>
            </w:r>
          </w:p>
        </w:tc>
        <w:tc>
          <w:tcPr>
            <w:tcW w:type="dxa" w:w="4464"/>
          </w:tcPr>
          <w:p>
            <w:pPr>
              <w:spacing w:after="40"/>
            </w:pPr>
            <w:r>
              <w:rPr>
                <w:sz w:val="19"/>
              </w:rPr>
              <w:t>If the primary LLM provider hits a quota/credit/rate-limit error mid-call, retries once against local Ollama instead of failing outright.</w:t>
            </w:r>
          </w:p>
        </w:tc>
        <w:tc>
          <w:tcPr>
            <w:tcW w:type="dxa" w:w="2304"/>
          </w:tcPr>
          <w:p>
            <w:pPr>
              <w:spacing w:after="40"/>
            </w:pPr>
            <w:r>
              <w:rPr>
                <w:sz w:val="19"/>
              </w:rPr>
              <w:t>true</w:t>
            </w:r>
          </w:p>
        </w:tc>
      </w:tr>
      <w:tr>
        <w:tc>
          <w:tcPr>
            <w:tcW w:type="dxa" w:w="2304"/>
          </w:tcPr>
          <w:p>
            <w:pPr>
              <w:spacing w:after="40"/>
            </w:pPr>
            <w:r>
              <w:rPr>
                <w:sz w:val="19"/>
              </w:rPr>
              <w:t>OLLAMA_FALLBACK_MODEL</w:t>
            </w:r>
          </w:p>
        </w:tc>
        <w:tc>
          <w:tcPr>
            <w:tcW w:type="dxa" w:w="2016"/>
          </w:tcPr>
          <w:p>
            <w:pPr>
              <w:spacing w:after="40"/>
            </w:pPr>
            <w:r>
              <w:rPr>
                <w:sz w:val="19"/>
              </w:rPr>
              <w:t>No (default hardcoded: qwen2.5-coder:7b)</w:t>
            </w:r>
          </w:p>
        </w:tc>
        <w:tc>
          <w:tcPr>
            <w:tcW w:type="dxa" w:w="4464"/>
          </w:tcPr>
          <w:p>
            <w:pPr>
              <w:spacing w:after="40"/>
            </w:pPr>
            <w:r>
              <w:rPr>
                <w:sz w:val="19"/>
              </w:rPr>
              <w:t>Ollama model used for the fallback path above.</w:t>
            </w:r>
          </w:p>
        </w:tc>
        <w:tc>
          <w:tcPr>
            <w:tcW w:type="dxa" w:w="2304"/>
          </w:tcPr>
          <w:p>
            <w:pPr>
              <w:spacing w:after="40"/>
            </w:pPr>
            <w:r>
              <w:rPr>
                <w:sz w:val="19"/>
              </w:rPr>
              <w:t>qwen2.5-coder:7b</w:t>
            </w:r>
          </w:p>
        </w:tc>
      </w:tr>
    </w:tbl>
    <w:p/>
    <w:p>
      <w:r>
        <w:br w:type="page"/>
      </w:r>
    </w:p>
    <w:p>
      <w:pPr>
        <w:pStyle w:val="Heading1"/>
      </w:pPr>
      <w:r>
        <w:rPr>
          <w:color w:val="1F2A44"/>
        </w:rPr>
        <w:t>6. Parameter Reference — docker-compose.yml Hardcoded Values</w:t>
      </w:r>
    </w:p>
    <w:p>
      <w:r>
        <w:rPr>
          <w:b w:val="0"/>
          <w:i/>
        </w:rPr>
        <w:t>These are NOT environment variables — they are literal values written directly into docker-compose.yml's environment: blocks, and must be edited in the file itself before a production deploy. They were deliberately hardcoded during development to avoid a local shell profile silently overriding them (see the inline comments at each of these lines in the file).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shd w:val="clear" w:color="auto" w:fill="305BAB"/>
          </w:tcPr>
          <w:p>
            <w:r>
              <w:rPr>
                <w:b/>
                <w:color w:val="FFFFFF"/>
              </w:rPr>
              <w:t>Service</w:t>
            </w:r>
          </w:p>
        </w:tc>
        <w:tc>
          <w:tcPr>
            <w:tcW w:type="dxa" w:w="1872"/>
            <w:shd w:val="clear" w:color="auto" w:fill="305BAB"/>
          </w:tcPr>
          <w:p>
            <w:r>
              <w:rPr>
                <w:b/>
                <w:color w:val="FFFFFF"/>
              </w:rPr>
              <w:t>Key</w:t>
            </w:r>
          </w:p>
        </w:tc>
        <w:tc>
          <w:tcPr>
            <w:tcW w:type="dxa" w:w="2160"/>
            <w:shd w:val="clear" w:color="auto" w:fill="305BAB"/>
          </w:tcPr>
          <w:p>
            <w:r>
              <w:rPr>
                <w:b/>
                <w:color w:val="FFFFFF"/>
              </w:rPr>
              <w:t>Current (dev) Value</w:t>
            </w:r>
          </w:p>
        </w:tc>
        <w:tc>
          <w:tcPr>
            <w:tcW w:type="dxa" w:w="3888"/>
            <w:shd w:val="clear" w:color="auto" w:fill="305BAB"/>
          </w:tcPr>
          <w:p>
            <w:r>
              <w:rPr>
                <w:b/>
                <w:color w:val="FFFFFF"/>
              </w:rPr>
              <w:t>What to Set for Production</w:t>
            </w:r>
          </w:p>
        </w:tc>
      </w:tr>
      <w:tr>
        <w:tc>
          <w:tcPr>
            <w:tcW w:type="dxa" w:w="1440"/>
          </w:tcPr>
          <w:p>
            <w:pPr>
              <w:spacing w:after="40"/>
            </w:pPr>
            <w:r>
              <w:rPr>
                <w:sz w:val="19"/>
              </w:rPr>
              <w:t>cspm-api</w:t>
            </w:r>
          </w:p>
        </w:tc>
        <w:tc>
          <w:tcPr>
            <w:tcW w:type="dxa" w:w="1872"/>
          </w:tcPr>
          <w:p>
            <w:pPr>
              <w:spacing w:after="40"/>
            </w:pPr>
            <w:r>
              <w:rPr>
                <w:sz w:val="19"/>
              </w:rPr>
              <w:t>CORS_ORIGIN</w:t>
            </w:r>
          </w:p>
        </w:tc>
        <w:tc>
          <w:tcPr>
            <w:tcW w:type="dxa" w:w="2160"/>
          </w:tcPr>
          <w:p>
            <w:pPr>
              <w:spacing w:after="40"/>
            </w:pPr>
            <w:r>
              <w:rPr>
                <w:sz w:val="19"/>
              </w:rPr>
              <w:t>http://localhost:8080</w:t>
            </w:r>
          </w:p>
        </w:tc>
        <w:tc>
          <w:tcPr>
            <w:tcW w:type="dxa" w:w="3888"/>
          </w:tcPr>
          <w:p>
            <w:pPr>
              <w:spacing w:after="40"/>
            </w:pPr>
            <w:r>
              <w:rPr>
                <w:sz w:val="19"/>
              </w:rPr>
              <w:t>Your real public HTTPS URL, e.g. https://scanner.yourcompany.com</w:t>
            </w:r>
          </w:p>
        </w:tc>
      </w:tr>
      <w:tr>
        <w:tc>
          <w:tcPr>
            <w:tcW w:type="dxa" w:w="1440"/>
          </w:tcPr>
          <w:p>
            <w:pPr>
              <w:spacing w:after="40"/>
            </w:pPr>
            <w:r>
              <w:rPr>
                <w:sz w:val="19"/>
              </w:rPr>
              <w:t>aspm-api</w:t>
            </w:r>
          </w:p>
        </w:tc>
        <w:tc>
          <w:tcPr>
            <w:tcW w:type="dxa" w:w="1872"/>
          </w:tcPr>
          <w:p>
            <w:pPr>
              <w:spacing w:after="40"/>
            </w:pPr>
            <w:r>
              <w:rPr>
                <w:sz w:val="19"/>
              </w:rPr>
              <w:t>CORS_ORIGIN</w:t>
            </w:r>
          </w:p>
        </w:tc>
        <w:tc>
          <w:tcPr>
            <w:tcW w:type="dxa" w:w="2160"/>
          </w:tcPr>
          <w:p>
            <w:pPr>
              <w:spacing w:after="40"/>
            </w:pPr>
            <w:r>
              <w:rPr>
                <w:sz w:val="19"/>
              </w:rPr>
              <w:t>http://localhost:8080</w:t>
            </w:r>
          </w:p>
        </w:tc>
        <w:tc>
          <w:tcPr>
            <w:tcW w:type="dxa" w:w="3888"/>
          </w:tcPr>
          <w:p>
            <w:pPr>
              <w:spacing w:after="40"/>
            </w:pPr>
            <w:r>
              <w:rPr>
                <w:sz w:val="19"/>
              </w:rPr>
              <w:t>Same public HTTPS URL as above — must match cspm-api's value.</w:t>
            </w:r>
          </w:p>
        </w:tc>
      </w:tr>
      <w:tr>
        <w:tc>
          <w:tcPr>
            <w:tcW w:type="dxa" w:w="1440"/>
          </w:tcPr>
          <w:p>
            <w:pPr>
              <w:spacing w:after="40"/>
            </w:pPr>
            <w:r>
              <w:rPr>
                <w:sz w:val="19"/>
              </w:rPr>
              <w:t>agent-api</w:t>
            </w:r>
          </w:p>
        </w:tc>
        <w:tc>
          <w:tcPr>
            <w:tcW w:type="dxa" w:w="1872"/>
          </w:tcPr>
          <w:p>
            <w:pPr>
              <w:spacing w:after="40"/>
            </w:pPr>
            <w:r>
              <w:rPr>
                <w:sz w:val="19"/>
              </w:rPr>
              <w:t>LLM_PROVIDER</w:t>
            </w:r>
          </w:p>
        </w:tc>
        <w:tc>
          <w:tcPr>
            <w:tcW w:type="dxa" w:w="2160"/>
          </w:tcPr>
          <w:p>
            <w:pPr>
              <w:spacing w:after="40"/>
            </w:pPr>
            <w:r>
              <w:rPr>
                <w:sz w:val="19"/>
              </w:rPr>
              <w:t>openai</w:t>
            </w:r>
          </w:p>
        </w:tc>
        <w:tc>
          <w:tcPr>
            <w:tcW w:type="dxa" w:w="3888"/>
          </w:tcPr>
          <w:p>
            <w:pPr>
              <w:spacing w:after="40"/>
            </w:pPr>
            <w:r>
              <w:rPr>
                <w:sz w:val="19"/>
              </w:rPr>
              <w:t>ollama, anthropic, openai, or groq — whichever provider you're using for the primary AI triage calls.</w:t>
            </w:r>
          </w:p>
        </w:tc>
      </w:tr>
      <w:tr>
        <w:tc>
          <w:tcPr>
            <w:tcW w:type="dxa" w:w="1440"/>
          </w:tcPr>
          <w:p>
            <w:pPr>
              <w:spacing w:after="40"/>
            </w:pPr>
            <w:r>
              <w:rPr>
                <w:sz w:val="19"/>
              </w:rPr>
              <w:t>agent-api</w:t>
            </w:r>
          </w:p>
        </w:tc>
        <w:tc>
          <w:tcPr>
            <w:tcW w:type="dxa" w:w="1872"/>
          </w:tcPr>
          <w:p>
            <w:pPr>
              <w:spacing w:after="40"/>
            </w:pPr>
            <w:r>
              <w:rPr>
                <w:sz w:val="19"/>
              </w:rPr>
              <w:t>AGENT_MODEL</w:t>
            </w:r>
          </w:p>
        </w:tc>
        <w:tc>
          <w:tcPr>
            <w:tcW w:type="dxa" w:w="2160"/>
          </w:tcPr>
          <w:p>
            <w:pPr>
              <w:spacing w:after="40"/>
            </w:pPr>
            <w:r>
              <w:rPr>
                <w:sz w:val="19"/>
              </w:rPr>
              <w:t>gpt-4.1-mini</w:t>
            </w:r>
          </w:p>
        </w:tc>
        <w:tc>
          <w:tcPr>
            <w:tcW w:type="dxa" w:w="3888"/>
          </w:tcPr>
          <w:p>
            <w:pPr>
              <w:spacing w:after="40"/>
            </w:pPr>
            <w:r>
              <w:rPr>
                <w:sz w:val="19"/>
              </w:rPr>
              <w:t>The model name for LLM_PROVIDER above (e.g. claude-sonnet-5 for anthropic, a locally-pulled model tag for ollama).</w:t>
            </w:r>
          </w:p>
        </w:tc>
      </w:tr>
      <w:tr>
        <w:tc>
          <w:tcPr>
            <w:tcW w:type="dxa" w:w="1440"/>
          </w:tcPr>
          <w:p>
            <w:pPr>
              <w:spacing w:after="40"/>
            </w:pPr>
            <w:r>
              <w:rPr>
                <w:sz w:val="19"/>
              </w:rPr>
              <w:t>agent-api</w:t>
            </w:r>
          </w:p>
        </w:tc>
        <w:tc>
          <w:tcPr>
            <w:tcW w:type="dxa" w:w="1872"/>
          </w:tcPr>
          <w:p>
            <w:pPr>
              <w:spacing w:after="40"/>
            </w:pPr>
            <w:r>
              <w:rPr>
                <w:sz w:val="19"/>
              </w:rPr>
              <w:t>JUDGE_PROVIDER</w:t>
            </w:r>
          </w:p>
        </w:tc>
        <w:tc>
          <w:tcPr>
            <w:tcW w:type="dxa" w:w="2160"/>
          </w:tcPr>
          <w:p>
            <w:pPr>
              <w:spacing w:after="40"/>
            </w:pPr>
            <w:r>
              <w:rPr>
                <w:sz w:val="19"/>
              </w:rPr>
              <w:t>openai</w:t>
            </w:r>
          </w:p>
        </w:tc>
        <w:tc>
          <w:tcPr>
            <w:tcW w:type="dxa" w:w="3888"/>
          </w:tcPr>
          <w:p>
            <w:pPr>
              <w:spacing w:after="40"/>
            </w:pPr>
            <w:r>
              <w:rPr>
                <w:sz w:val="19"/>
              </w:rPr>
              <w:t>Provider for the adversarial judge/verification node. Can differ from LLM_PROVIDER, but a weak/small model here is known to reflexively overturn confirmed findings.</w:t>
            </w:r>
          </w:p>
        </w:tc>
      </w:tr>
      <w:tr>
        <w:tc>
          <w:tcPr>
            <w:tcW w:type="dxa" w:w="1440"/>
          </w:tcPr>
          <w:p>
            <w:pPr>
              <w:spacing w:after="40"/>
            </w:pPr>
            <w:r>
              <w:rPr>
                <w:sz w:val="19"/>
              </w:rPr>
              <w:t>agent-api</w:t>
            </w:r>
          </w:p>
        </w:tc>
        <w:tc>
          <w:tcPr>
            <w:tcW w:type="dxa" w:w="1872"/>
          </w:tcPr>
          <w:p>
            <w:pPr>
              <w:spacing w:after="40"/>
            </w:pPr>
            <w:r>
              <w:rPr>
                <w:sz w:val="19"/>
              </w:rPr>
              <w:t>JUDGE_MODEL</w:t>
            </w:r>
          </w:p>
        </w:tc>
        <w:tc>
          <w:tcPr>
            <w:tcW w:type="dxa" w:w="2160"/>
          </w:tcPr>
          <w:p>
            <w:pPr>
              <w:spacing w:after="40"/>
            </w:pPr>
            <w:r>
              <w:rPr>
                <w:sz w:val="19"/>
              </w:rPr>
              <w:t>gpt-4.1-mini</w:t>
            </w:r>
          </w:p>
        </w:tc>
        <w:tc>
          <w:tcPr>
            <w:tcW w:type="dxa" w:w="3888"/>
          </w:tcPr>
          <w:p>
            <w:pPr>
              <w:spacing w:after="40"/>
            </w:pPr>
            <w:r>
              <w:rPr>
                <w:sz w:val="19"/>
              </w:rPr>
              <w:t>Model name for JUDGE_PROVIDER above.</w:t>
            </w:r>
          </w:p>
        </w:tc>
      </w:tr>
    </w:tbl>
    <w:p/>
    <w:p>
      <w:r>
        <w:br w:type="page"/>
      </w:r>
    </w:p>
    <w:p>
      <w:pPr>
        <w:pStyle w:val="Heading1"/>
      </w:pPr>
      <w:r>
        <w:rPr>
          <w:color w:val="1F2A44"/>
        </w:rPr>
        <w:t>7. Post-Deployment Steps</w:t>
      </w:r>
    </w:p>
    <w:p>
      <w:pPr>
        <w:pStyle w:val="Heading2"/>
      </w:pPr>
      <w:r>
        <w:rPr>
          <w:color w:val="305BAB"/>
        </w:rPr>
        <w:t>7.1 — Database backups</w:t>
      </w:r>
    </w:p>
    <w:p>
      <w:r>
        <w:rPr>
          <w:b w:val="0"/>
          <w:i w:val="0"/>
        </w:rPr>
        <w:t>infra/db/backup.sh runs pg_dump (compressed custom format) inside the vapt-db container to infra/db/backups/ and automatically prunes anything older than RETENTION_DAYS (default 14 days). Schedule it once with the included installer:</w:t>
      </w:r>
    </w:p>
    <w:p>
      <w:pPr>
        <w:ind w:left="432"/>
        <w:shd w:val="clear" w:color="auto" w:fill="F2F2F2"/>
      </w:pPr>
      <w:r>
        <w:rPr>
          <w:rFonts w:ascii="Consolas" w:hAnsi="Consolas"/>
          <w:sz w:val="19"/>
        </w:rPr>
        <w:t>./infra/db/install-cron.sh                # daily at 2am</w:t>
        <w:br/>
        <w:t>BACKUP_HOUR=3 ./infra/db/install-cron.sh  # or a different hour</w:t>
      </w:r>
    </w:p>
    <w:p>
      <w:r>
        <w:rPr>
          <w:b w:val="0"/>
          <w:i w:val="0"/>
        </w:rPr>
        <w:t>To restore from a backup (destructive — stops app containers, replaces every table, requires typed confirmation):</w:t>
      </w:r>
    </w:p>
    <w:p>
      <w:pPr>
        <w:ind w:left="432"/>
        <w:shd w:val="clear" w:color="auto" w:fill="F2F2F2"/>
      </w:pPr>
      <w:r>
        <w:rPr>
          <w:rFonts w:ascii="Consolas" w:hAnsi="Consolas"/>
          <w:sz w:val="19"/>
        </w:rPr>
        <w:t>./infra/db/restore.sh infra/db/backups/vapt_&lt;timestamp&gt;.dump</w:t>
      </w:r>
    </w:p>
    <w:p>
      <w:pPr>
        <w:pStyle w:val="Heading2"/>
      </w:pPr>
      <w:r>
        <w:rPr>
          <w:color w:val="305BAB"/>
        </w:rPr>
        <w:t>7.2 — Health monitoring and alerting</w:t>
      </w:r>
    </w:p>
    <w:p>
      <w:r>
        <w:rPr>
          <w:b w:val="0"/>
          <w:i w:val="0"/>
        </w:rPr>
        <w:t>infra/monitoring/watchdog.sh checks every container's Docker health status plus each backend's HTTP health endpoint, and posts to a Slack-compatible webhook only on a state change (healthy to failing, or failing to healthy) — not on every run, so a down service does not spam the channel every 5 minutes it stays down.</w:t>
      </w:r>
    </w:p>
    <w:p>
      <w:pPr>
        <w:ind w:left="432"/>
        <w:shd w:val="clear" w:color="auto" w:fill="F2F2F2"/>
      </w:pPr>
      <w:r>
        <w:rPr>
          <w:rFonts w:ascii="Consolas" w:hAnsi="Consolas"/>
          <w:sz w:val="19"/>
        </w:rPr>
        <w:t># Set your webhook URL first:</w:t>
        <w:br/>
        <w:t>echo 'WEBHOOK_URL=https://hooks.slack.com/services/...' &gt; infra/monitoring/.env</w:t>
        <w:br/>
        <w:br/>
        <w:t># Then schedule it:</w:t>
        <w:br/>
        <w:t>./infra/monitoring/install-cron.sh                       # every 5 minutes</w:t>
        <w:br/>
        <w:t>WATCHDOG_INTERVAL_MIN=10 ./infra/monitoring/install-cron.sh   # or a different interval</w:t>
      </w:r>
    </w:p>
    <w:p>
      <w:r>
        <w:rPr>
          <w:b w:val="0"/>
          <w:i/>
        </w:rPr>
        <w:t>Without WEBHOOK_URL set, alerts still land in infra/monitoring/watchdog.log — but nobody is paged. Setting a real webhook is required for this to function as actual alerting, not just logging.</w:t>
      </w:r>
    </w:p>
    <w:p>
      <w:pPr>
        <w:pStyle w:val="Heading2"/>
      </w:pPr>
      <w:r>
        <w:rPr>
          <w:color w:val="305BAB"/>
        </w:rPr>
        <w:t>7.3 — TLS reverse proxy</w:t>
      </w:r>
    </w:p>
    <w:p>
      <w:r>
        <w:rPr>
          <w:b w:val="0"/>
          <w:i w:val="0"/>
        </w:rPr>
        <w:t>Not included in this repository — provision separately (nginx, Caddy, Traefik, or a cloud load balancer) in front of the web container's port 8080, terminating HTTPS there. Do not expose port 8080 to the public internet directly.</w:t>
      </w:r>
    </w:p>
    <w:p>
      <w:r>
        <w:br w:type="page"/>
      </w:r>
    </w:p>
    <w:p>
      <w:pPr>
        <w:pStyle w:val="Heading1"/>
      </w:pPr>
      <w:r>
        <w:rPr>
          <w:color w:val="1F2A44"/>
        </w:rPr>
        <w:t>8. Verification Checklist</w:t>
      </w:r>
    </w:p>
    <w:p>
      <w:pPr>
        <w:pStyle w:val="ListBullet"/>
      </w:pPr>
      <w:r>
        <w:t>☐  docker compose ps shows all 7 containers as "healthy"</w:t>
      </w:r>
    </w:p>
    <w:p>
      <w:pPr>
        <w:pStyle w:val="ListBullet"/>
      </w:pPr>
      <w:r>
        <w:t>☐  https://&lt;your-domain&gt;/  loads the login page over HTTPS</w:t>
      </w:r>
    </w:p>
    <w:p>
      <w:pPr>
        <w:pStyle w:val="ListBullet"/>
      </w:pPr>
      <w:r>
        <w:t>☐  Login with the admin account succeeds, and the admin password has been rotated post-login</w:t>
      </w:r>
    </w:p>
    <w:p>
      <w:pPr>
        <w:pStyle w:val="ListBullet"/>
      </w:pPr>
      <w:r>
        <w:t>☐  http://localhost:8080/api/cspm/health, /api/aspm/health, and /api/agent/health all return 200 (test from the host, before/without the reverse proxy is a good first check)</w:t>
      </w:r>
    </w:p>
    <w:p>
      <w:pPr>
        <w:pStyle w:val="ListBullet"/>
      </w:pPr>
      <w:r>
        <w:t>☐  http://localhost:8080/api/aspm/docs and /api/agent/docs (Swagger UI) load correctly</w:t>
      </w:r>
    </w:p>
    <w:p>
      <w:pPr>
        <w:pStyle w:val="ListBullet"/>
      </w:pPr>
      <w:r>
        <w:t>☐  A test cloud account onboarding + scan completes successfully</w:t>
      </w:r>
    </w:p>
    <w:p>
      <w:pPr>
        <w:pStyle w:val="ListBullet"/>
      </w:pPr>
      <w:r>
        <w:t>☐  A test ASPM Git target completes at least the Ingest and SAST stages</w:t>
      </w:r>
    </w:p>
    <w:p>
      <w:pPr>
        <w:pStyle w:val="ListBullet"/>
      </w:pPr>
      <w:r>
        <w:t>☐  infra/db/backup.sh runs successfully by hand once, and produces a file under infra/db/backups/</w:t>
      </w:r>
    </w:p>
    <w:p>
      <w:pPr>
        <w:pStyle w:val="ListBullet"/>
      </w:pPr>
      <w:r>
        <w:t>☐  crontab -l (on the deploy host) shows both the backup and watchdog cron entries installed</w:t>
      </w:r>
    </w:p>
    <w:p>
      <w:pPr>
        <w:pStyle w:val="ListBullet"/>
      </w:pPr>
      <w:r>
        <w:t>☐  A test alert fires correctly — temporarily stop one container (docker compose stop agent-api) and confirm the webhook receives a DOWN notification within the configured interval, then restart it and confirm a RECOVERED notification</w:t>
      </w:r>
    </w:p>
    <w:p>
      <w:r>
        <w:br w:type="page"/>
      </w:r>
    </w:p>
    <w:p>
      <w:pPr>
        <w:pStyle w:val="Heading1"/>
      </w:pPr>
      <w:r>
        <w:rPr>
          <w:color w:val="1F2A44"/>
        </w:rPr>
        <w:t>9. Rollback / Troubleshooting</w:t>
      </w:r>
    </w:p>
    <w:p>
      <w:pPr>
        <w:pStyle w:val="Heading2"/>
      </w:pPr>
      <w:r>
        <w:rPr>
          <w:color w:val="305BAB"/>
        </w:rPr>
        <w:t>A container won't report healthy</w:t>
      </w:r>
    </w:p>
    <w:p>
      <w:pPr>
        <w:pStyle w:val="ListBullet"/>
      </w:pPr>
      <w:r>
        <w:t>docker compose logs &lt;service&gt; --tail 50 — check for a missing/misconfigured environment variable first (Compose fails fast with a clear "must be set in .env" error for every required variable in Section 4/5).</w:t>
      </w:r>
    </w:p>
    <w:p>
      <w:pPr>
        <w:pStyle w:val="ListBullet"/>
      </w:pPr>
      <w:r>
        <w:t>If web is the only unhealthy container, it is very likely waiting on cspm-api/aspm-api/agent-api to become healthy first, by design — check those three instead.</w:t>
      </w:r>
    </w:p>
    <w:p>
      <w:pPr>
        <w:pStyle w:val="Heading2"/>
      </w:pPr>
      <w:r>
        <w:rPr>
          <w:color w:val="305BAB"/>
        </w:rPr>
        <w:t>Rolling back a bad deploy</w:t>
      </w:r>
    </w:p>
    <w:p>
      <w:pPr>
        <w:ind w:left="432"/>
        <w:shd w:val="clear" w:color="auto" w:fill="F2F2F2"/>
      </w:pPr>
      <w:r>
        <w:rPr>
          <w:rFonts w:ascii="Consolas" w:hAnsi="Consolas"/>
          <w:sz w:val="19"/>
        </w:rPr>
        <w:t>docker compose down</w:t>
        <w:br/>
        <w:t>git checkout &lt;previous-known-good-tag-or-commit&gt;</w:t>
        <w:br/>
        <w:t>docker compose up -d --build</w:t>
      </w:r>
    </w:p>
    <w:p>
      <w:r>
        <w:rPr>
          <w:b w:val="0"/>
          <w:i w:val="0"/>
        </w:rPr>
        <w:t>The database is not affected by a code rollback — it is a separate, persistent volume. If a bad deploy also corrupted data, restore from the most recent backup per Section 7.1 before or after the code rollback as appropriate.</w:t>
      </w:r>
    </w:p>
    <w:p>
      <w:pPr>
        <w:pStyle w:val="Heading2"/>
      </w:pPr>
      <w:r>
        <w:rPr>
          <w:color w:val="305BAB"/>
        </w:rPr>
        <w:t>Restoring after a full host loss</w:t>
      </w:r>
    </w:p>
    <w:p>
      <w:pPr>
        <w:pStyle w:val="ListNumber"/>
      </w:pPr>
      <w:r>
        <w:t>Provision a new host meeting the Prerequisites in Section 2.</w:t>
      </w:r>
    </w:p>
    <w:p>
      <w:pPr>
        <w:pStyle w:val="ListNumber"/>
      </w:pPr>
      <w:r>
        <w:t>Repeat Steps 1 through 6 of Section 3, using the SAME secrets as the lost host if you have them recorded in a secrets manager (regenerating them means old backups won't restore cleanly unless you also update the restored database's credentials to match).</w:t>
      </w:r>
    </w:p>
    <w:p>
      <w:pPr>
        <w:pStyle w:val="ListNumber"/>
      </w:pPr>
      <w:r>
        <w:t>Copy the most recent backup file from off-host storage (backups should never live only on the host they back up) into infra/db/backups/ and run restore.sh.</w:t>
      </w:r>
    </w:p>
    <w:p>
      <w:pPr>
        <w:pStyle w:val="ListNumber"/>
      </w:pPr>
      <w:r>
        <w:t>Re-run Steps 8-10 of Section 3 (TLS, backup cron, watchdog cron).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