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Azure Subscription Creation Pipeline Demo – Speaker Notes</w:t>
      </w:r>
    </w:p>
    <w:p>
      <w:pPr>
        <w:pStyle w:val="Heading2"/>
      </w:pPr>
      <w:r>
        <w:t>Current State</w:t>
      </w:r>
    </w:p>
    <w:p>
      <w:r>
        <w:t>This demo shows how we can automate subscription creation using the same DevOps model shown in the previous user‑creation demo. Just like before, the pipeline authenticates using OIDC, giving us identity‑based access without storing any credentials.</w:t>
        <w:br/>
        <w:br/>
        <w:t>Today, subscription creation is often a mix of portal work and standalone scripts. The parameters you see—subscription name, alias, billing scope, workload type, and tags—are the same values teams typically gather manually.</w:t>
        <w:br/>
        <w:br/>
        <w:t>In the automated process, these values feed into Bash scripts that use `az rest` to create the subscription and `az tag` to apply the metadata. The pipeline then polls the alias provisioning state until it reaches Succeeded or Failed, removing guesswork and eliminating the need to monitor the portal manually.</w:t>
      </w:r>
    </w:p>
    <w:p>
      <w:pPr>
        <w:pStyle w:val="Heading2"/>
      </w:pPr>
      <w:r>
        <w:t>Future State</w:t>
      </w:r>
    </w:p>
    <w:p>
      <w:r>
        <w:t>Where this really grows is in a future‑state subscription factory model.</w:t>
        <w:br/>
        <w:br/>
        <w:t>After the subscription is created, the pipeline can automatically:</w:t>
        <w:br/>
        <w:t>• Assign the correct management group</w:t>
        <w:br/>
        <w:t>• Deploy landing‑zone components and baseline networking</w:t>
        <w:br/>
        <w:t>• Apply policy sets and compliance configurations immediately</w:t>
        <w:br/>
        <w:t>• Assign RBAC roles based on workload or environment</w:t>
        <w:br/>
        <w:t>• Configure diagnostics, monitoring, and logging</w:t>
        <w:br/>
        <w:t>• Register resource providers or apply network manager settings</w:t>
        <w:br/>
        <w:br/>
        <w:t>Some organizations integrate approvals or trigger the flow directly from ServiceNow or another request system.</w:t>
        <w:br/>
        <w:br/>
        <w:t>The goal is a fully automated subscription onboarding workflow where standards, governance, and security are applied consistently every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