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05324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6B26850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558B5E8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474E0A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7589976B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A82D025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77E10D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D017FBF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D8E9BEE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300AF43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C6E03">
        <w:rPr>
          <w:rFonts w:ascii="Times New Roman" w:eastAsia="Calibri" w:hAnsi="Times New Roman" w:cs="Times New Roman"/>
          <w:b/>
          <w:bCs/>
          <w:sz w:val="32"/>
          <w:szCs w:val="32"/>
        </w:rPr>
        <w:t>Практическое занятие №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12</w:t>
      </w:r>
    </w:p>
    <w:p w14:paraId="4C5060DA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Патентный поиск</w:t>
      </w:r>
    </w:p>
    <w:p w14:paraId="42A057ED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59E994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629B5F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EF65BA" w14:textId="77777777"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781E5EB8" w14:textId="77777777"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4024A3FE" w14:textId="0B6AA095" w:rsidR="00E52918" w:rsidRPr="001C6E03" w:rsidRDefault="004204DC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Бобрович Глеб Сергеевич</w:t>
      </w:r>
    </w:p>
    <w:p w14:paraId="58B41785" w14:textId="77777777"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0FF737C4" w14:textId="77777777"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Барковский Евгений Валерьевич</w:t>
      </w:r>
    </w:p>
    <w:p w14:paraId="1A2303A4" w14:textId="77777777"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C4F6F36" w14:textId="77777777"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E6A5325" w14:textId="77777777"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00474D3" w14:textId="77777777"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602C04E" w14:textId="77777777" w:rsidR="00E52918" w:rsidRPr="001C6E03" w:rsidRDefault="00E52918" w:rsidP="00E5291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29861B3" w14:textId="77777777" w:rsidR="00E52918" w:rsidRPr="001C6E03" w:rsidRDefault="00E52918" w:rsidP="00E52918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E9097D" w14:textId="77777777" w:rsidR="00E52918" w:rsidRPr="001C6E03" w:rsidRDefault="00E52918" w:rsidP="00E5291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Минск 2022 г.</w:t>
      </w:r>
    </w:p>
    <w:p w14:paraId="291DC4BF" w14:textId="77777777" w:rsidR="00D204C0" w:rsidRDefault="00D204C0"/>
    <w:p w14:paraId="7611A009" w14:textId="77777777" w:rsidR="00E52918" w:rsidRDefault="00E52918"/>
    <w:p w14:paraId="1D357282" w14:textId="77777777" w:rsidR="00E52918" w:rsidRDefault="00E52918" w:rsidP="00E52918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Цель: освоить навыки проведения патентного поиска по заданной тематике.</w:t>
      </w:r>
    </w:p>
    <w:p w14:paraId="267694CF" w14:textId="77777777" w:rsidR="00E52918" w:rsidRDefault="00E52918"/>
    <w:p w14:paraId="2E3789CA" w14:textId="7C817B39" w:rsidR="00E52918" w:rsidRPr="001F18C5" w:rsidRDefault="00E529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</w:p>
    <w:p w14:paraId="5EA68C92" w14:textId="36644738" w:rsidR="00C93025" w:rsidRDefault="008E4E44" w:rsidP="003E60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4E44">
        <w:rPr>
          <w:rFonts w:ascii="Times New Roman" w:hAnsi="Times New Roman" w:cs="Times New Roman"/>
          <w:b/>
          <w:bCs/>
          <w:sz w:val="28"/>
          <w:szCs w:val="28"/>
        </w:rPr>
        <w:t>Метод и устройство интерактивного музыкального концерта</w:t>
      </w:r>
    </w:p>
    <w:p w14:paraId="400D0B6E" w14:textId="60440D48" w:rsidR="008E4E44" w:rsidRDefault="008E4E44" w:rsidP="003E60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1ECE7E" wp14:editId="08F2A8D8">
            <wp:extent cx="5419725" cy="557530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4B34" w14:textId="701F02C1" w:rsidR="003E60C1" w:rsidRPr="003E60C1" w:rsidRDefault="003E60C1" w:rsidP="003E60C1">
      <w:pPr>
        <w:ind w:firstLine="709"/>
        <w:rPr>
          <w:rFonts w:ascii="Times New Roman" w:hAnsi="Times New Roman" w:cs="Times New Roman"/>
          <w:b/>
          <w:bCs/>
          <w:sz w:val="28"/>
        </w:rPr>
      </w:pPr>
      <w:r w:rsidRPr="003E60C1">
        <w:rPr>
          <w:rFonts w:ascii="Times New Roman" w:hAnsi="Times New Roman" w:cs="Times New Roman"/>
          <w:b/>
          <w:bCs/>
          <w:sz w:val="28"/>
        </w:rPr>
        <w:t>Описание:</w:t>
      </w:r>
    </w:p>
    <w:p w14:paraId="1A21A88D" w14:textId="18996E0A" w:rsidR="008E4E44" w:rsidRDefault="00E52918" w:rsidP="008E4E44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ab/>
      </w:r>
      <w:r w:rsidR="008E4E44" w:rsidRPr="008E4E44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Способ и устройство интерактивного музыкального концерта обеспечивают взаимодействие между исполнителем и посетителями концерта для общения и активного участия в концерте. Исполнитель вводит информацию о концерте на сервер с помощью приложения, к которому затем посетитель концерта получает доступ по беспроводной сети с помощью электронного устройства, на котором запущено интерактивное программное обеспечение. Анимации с сервера динамически отображаются на электронном устройстве</w:t>
      </w:r>
      <w:r w:rsidR="008E4E44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42C83BD8" w14:textId="511F3C97" w:rsidR="00C93025" w:rsidRPr="003E60C1" w:rsidRDefault="00C93025" w:rsidP="003E60C1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16ACB459" w14:textId="77777777" w:rsidR="00C93025" w:rsidRDefault="00C93025" w:rsidP="00E52918">
      <w:pPr>
        <w:jc w:val="center"/>
        <w:rPr>
          <w:rFonts w:ascii="Times New Roman" w:hAnsi="Times New Roman" w:cs="Times New Roman"/>
          <w:b/>
          <w:sz w:val="28"/>
        </w:rPr>
      </w:pPr>
    </w:p>
    <w:p w14:paraId="6DB635E0" w14:textId="10866CFB" w:rsidR="00E52918" w:rsidRDefault="00DA256F" w:rsidP="00E52918">
      <w:pPr>
        <w:jc w:val="center"/>
        <w:rPr>
          <w:rFonts w:ascii="Times New Roman" w:hAnsi="Times New Roman" w:cs="Times New Roman"/>
          <w:sz w:val="28"/>
        </w:rPr>
      </w:pPr>
      <w:r w:rsidRPr="00DA256F">
        <w:rPr>
          <w:rFonts w:ascii="Times New Roman" w:hAnsi="Times New Roman" w:cs="Times New Roman"/>
          <w:b/>
          <w:sz w:val="28"/>
        </w:rPr>
        <w:t>Система голосования за концертную музыку</w:t>
      </w:r>
    </w:p>
    <w:p w14:paraId="154EF159" w14:textId="0168AFC7" w:rsidR="005E6FBF" w:rsidRPr="003E60C1" w:rsidRDefault="00E52918" w:rsidP="00E5291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A256F" w:rsidRPr="00DA25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Внедренная система голосования музыки, пользователь связан с концертом, и исполнитель загружает выбор песен для концертного исполнения. Система передает результат сет-листа в реальном времени пользователям системы до или во время концертной производительности. Пользователь входит в систему и присоединяется к зале ожидания для голосования. Художник начинает период голосования. Пользователи могут получить доступ к вкладкам «</w:t>
      </w:r>
      <w:proofErr w:type="spellStart"/>
      <w:r w:rsidR="00DA256F" w:rsidRPr="00DA25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Pulse</w:t>
      </w:r>
      <w:proofErr w:type="spellEnd"/>
      <w:r w:rsidR="00DA256F" w:rsidRPr="00DA25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» и «</w:t>
      </w:r>
      <w:proofErr w:type="spellStart"/>
      <w:r w:rsidR="00DA256F" w:rsidRPr="00DA25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Flow</w:t>
      </w:r>
      <w:proofErr w:type="spellEnd"/>
      <w:r w:rsidR="00DA256F" w:rsidRPr="00DA256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», где они будут голосовать за сет -лист или песню и быть обновленными вживую в ходе прогресса голосования. Варианты для социального участия будут предоставлены. Система табулирует голоса и определяет выигрышную песню или сет -лист. Исполнитель исполняет песню или сет -лист. Пользователи получают награды за участие.</w:t>
      </w:r>
    </w:p>
    <w:p w14:paraId="7D311825" w14:textId="33186E2B" w:rsidR="00C93025" w:rsidRDefault="00DA256F" w:rsidP="00DA256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CC07765" wp14:editId="1C242E7F">
            <wp:extent cx="5742940" cy="55200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55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3003" w14:textId="77777777" w:rsidR="00C93025" w:rsidRDefault="00C93025" w:rsidP="005E6FBF">
      <w:pPr>
        <w:jc w:val="center"/>
        <w:rPr>
          <w:rFonts w:ascii="Times New Roman" w:hAnsi="Times New Roman" w:cs="Times New Roman"/>
          <w:b/>
          <w:sz w:val="28"/>
        </w:rPr>
      </w:pPr>
    </w:p>
    <w:p w14:paraId="6E8AD0EE" w14:textId="20D9B700" w:rsidR="00C93025" w:rsidRDefault="00DA256F" w:rsidP="00DA256F">
      <w:pPr>
        <w:jc w:val="center"/>
        <w:rPr>
          <w:rFonts w:ascii="Times New Roman" w:hAnsi="Times New Roman" w:cs="Times New Roman"/>
          <w:b/>
          <w:sz w:val="28"/>
        </w:rPr>
      </w:pPr>
      <w:r w:rsidRPr="00DA256F">
        <w:rPr>
          <w:rFonts w:ascii="Times New Roman" w:hAnsi="Times New Roman" w:cs="Times New Roman"/>
          <w:b/>
          <w:sz w:val="28"/>
        </w:rPr>
        <w:t xml:space="preserve">Методы и аппарат для проверки и/или правильной информации о </w:t>
      </w:r>
      <w:proofErr w:type="spellStart"/>
      <w:r>
        <w:rPr>
          <w:rFonts w:ascii="Times New Roman" w:hAnsi="Times New Roman" w:cs="Times New Roman"/>
          <w:b/>
          <w:sz w:val="28"/>
        </w:rPr>
        <w:t>лайнапе</w:t>
      </w:r>
      <w:proofErr w:type="spellEnd"/>
    </w:p>
    <w:p w14:paraId="7777732F" w14:textId="3E28DB3E" w:rsidR="00554CD1" w:rsidRDefault="00DA256F" w:rsidP="00C93025">
      <w:pPr>
        <w:jc w:val="both"/>
        <w:rPr>
          <w:rFonts w:ascii="Times New Roman" w:hAnsi="Times New Roman" w:cs="Times New Roman"/>
          <w:sz w:val="28"/>
        </w:rPr>
      </w:pPr>
      <w:r w:rsidRPr="00DA256F">
        <w:rPr>
          <w:rFonts w:ascii="Times New Roman" w:hAnsi="Times New Roman" w:cs="Times New Roman"/>
          <w:sz w:val="28"/>
        </w:rPr>
        <w:t xml:space="preserve">Методы и аппарат для проверки и/или правильной информации о </w:t>
      </w:r>
      <w:proofErr w:type="spellStart"/>
      <w:r>
        <w:rPr>
          <w:rFonts w:ascii="Times New Roman" w:hAnsi="Times New Roman" w:cs="Times New Roman"/>
          <w:sz w:val="28"/>
        </w:rPr>
        <w:t>лайнпае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A256F">
        <w:rPr>
          <w:rFonts w:ascii="Times New Roman" w:hAnsi="Times New Roman" w:cs="Times New Roman"/>
          <w:sz w:val="28"/>
        </w:rPr>
        <w:t xml:space="preserve">раскрыты. Раскрытый пример аппарат включает компаратор для сравнения данных о представлении среды, репрезентативного для вывода носителя с помощью установленного верхнего окна с ссылкой данных, соответствующих первой станции, чтобы определить, соответствуют ли данные о представлении среды, данные о презентации носителя, полученные при то, что установленная вершина Коробка была настроена на первый номер канала. </w:t>
      </w:r>
      <w:proofErr w:type="spellStart"/>
      <w:r w:rsidRPr="00DA256F">
        <w:rPr>
          <w:rFonts w:ascii="Times New Roman" w:hAnsi="Times New Roman" w:cs="Times New Roman"/>
          <w:sz w:val="28"/>
        </w:rPr>
        <w:t>Кораптор</w:t>
      </w:r>
      <w:proofErr w:type="spellEnd"/>
      <w:r w:rsidRPr="00DA256F">
        <w:rPr>
          <w:rFonts w:ascii="Times New Roman" w:hAnsi="Times New Roman" w:cs="Times New Roman"/>
          <w:sz w:val="28"/>
        </w:rPr>
        <w:t xml:space="preserve"> также должен определить вторую станцию, которая соответствует данным представления среды, когда данные представления среды не соответствуют эталонным данным, и связывают номер первого канала со второй станцией, чтобы создать карту второго канала, чтобы заменить первый канал Карта, который связывал первый номер канала на первой станции на основе информации о линейке канала для установленного верхнего окна.</w:t>
      </w:r>
    </w:p>
    <w:p w14:paraId="406FA02E" w14:textId="045E6A07" w:rsidR="00DA256F" w:rsidRDefault="00DA256F" w:rsidP="00DA256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65E4E49" wp14:editId="11E74983">
            <wp:extent cx="3334215" cy="52242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171" cy="522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843"/>
        <w:gridCol w:w="2279"/>
        <w:gridCol w:w="2920"/>
        <w:gridCol w:w="1982"/>
        <w:gridCol w:w="2033"/>
      </w:tblGrid>
      <w:tr w:rsidR="00542ABF" w14:paraId="4D579A2E" w14:textId="77777777" w:rsidTr="007C7AC6">
        <w:tc>
          <w:tcPr>
            <w:tcW w:w="1843" w:type="dxa"/>
          </w:tcPr>
          <w:p w14:paraId="330EFE8F" w14:textId="77777777" w:rsidR="00542ABF" w:rsidRDefault="00542ABF" w:rsidP="007061B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Предмет поиска (объект исследования, его составные части)</w:t>
            </w:r>
          </w:p>
        </w:tc>
        <w:tc>
          <w:tcPr>
            <w:tcW w:w="2279" w:type="dxa"/>
          </w:tcPr>
          <w:p w14:paraId="614870DD" w14:textId="77777777" w:rsidR="00542ABF" w:rsidRDefault="00542ABF" w:rsidP="007061B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bCs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2920" w:type="dxa"/>
          </w:tcPr>
          <w:p w14:paraId="331EC1FA" w14:textId="77777777" w:rsidR="00542ABF" w:rsidRPr="005C4B66" w:rsidRDefault="00542ABF" w:rsidP="007061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sz w:val="28"/>
                <w:szCs w:val="28"/>
              </w:rPr>
              <w:t>Заявитель (патентообладатель)страна. Номер заявки, дата приоритета, конвенционный приоритет, дата публикации</w:t>
            </w:r>
          </w:p>
        </w:tc>
        <w:tc>
          <w:tcPr>
            <w:tcW w:w="1982" w:type="dxa"/>
          </w:tcPr>
          <w:p w14:paraId="3E0458AE" w14:textId="77777777" w:rsidR="00542ABF" w:rsidRDefault="00542ABF" w:rsidP="007061B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2033" w:type="dxa"/>
          </w:tcPr>
          <w:p w14:paraId="47CAE247" w14:textId="77777777" w:rsidR="00542ABF" w:rsidRDefault="00542ABF" w:rsidP="007061B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bCs/>
                <w:sz w:val="28"/>
                <w:szCs w:val="28"/>
              </w:rPr>
              <w:t>Сведения о действии охранного документа или причина его аннулирования (только для анализа патентной чистоты)</w:t>
            </w:r>
          </w:p>
        </w:tc>
      </w:tr>
      <w:tr w:rsidR="00542ABF" w14:paraId="3608735E" w14:textId="77777777" w:rsidTr="007C7AC6">
        <w:tc>
          <w:tcPr>
            <w:tcW w:w="1843" w:type="dxa"/>
          </w:tcPr>
          <w:p w14:paraId="301A7080" w14:textId="58B941AB" w:rsidR="00542ABF" w:rsidRPr="00542ABF" w:rsidRDefault="00542ABF" w:rsidP="00542AB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0" w:name="_GoBack"/>
            <w:bookmarkEnd w:id="0"/>
            <w:r w:rsidRPr="00542ABF">
              <w:rPr>
                <w:rFonts w:ascii="Times New Roman" w:hAnsi="Times New Roman" w:cs="Times New Roman"/>
                <w:sz w:val="28"/>
                <w:szCs w:val="20"/>
                <w:shd w:val="clear" w:color="auto" w:fill="FFFFFF"/>
              </w:rPr>
              <w:t>Сделки купли-продажи или аренды</w:t>
            </w:r>
          </w:p>
        </w:tc>
        <w:tc>
          <w:tcPr>
            <w:tcW w:w="2279" w:type="dxa"/>
          </w:tcPr>
          <w:p w14:paraId="5C6D4C07" w14:textId="77777777" w:rsidR="00542ABF" w:rsidRDefault="00542ABF" w:rsidP="00542AB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15AA17D" w14:textId="2E44B0D4" w:rsidR="00542ABF" w:rsidRPr="00542ABF" w:rsidRDefault="00542ABF" w:rsidP="00542A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ABF">
              <w:rPr>
                <w:rFonts w:ascii="Times New Roman" w:hAnsi="Times New Roman" w:cs="Times New Roman"/>
                <w:sz w:val="28"/>
              </w:rPr>
              <w:t>G06Q30/06</w:t>
            </w:r>
            <w:r w:rsidRPr="00542ABF">
              <w:rPr>
                <w:rFonts w:ascii="Times New Roman" w:hAnsi="Times New Roman" w:cs="Times New Roman"/>
                <w:color w:val="333333"/>
                <w:sz w:val="24"/>
                <w:szCs w:val="20"/>
                <w:shd w:val="clear" w:color="auto" w:fill="E8F0FE"/>
              </w:rPr>
              <w:t> </w:t>
            </w:r>
          </w:p>
        </w:tc>
        <w:tc>
          <w:tcPr>
            <w:tcW w:w="2920" w:type="dxa"/>
          </w:tcPr>
          <w:p w14:paraId="10CB9C7D" w14:textId="491584A0" w:rsidR="00542ABF" w:rsidRDefault="00542ABF" w:rsidP="007061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542ABF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 xml:space="preserve">Заявка, поданная </w:t>
              </w:r>
              <w:proofErr w:type="spellStart"/>
              <w:r w:rsidRPr="00542ABF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Реваре</w:t>
              </w:r>
              <w:proofErr w:type="spellEnd"/>
              <w:r w:rsidRPr="00542ABF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 xml:space="preserve"> Стивеном Л.</w:t>
              </w:r>
            </w:hyperlink>
          </w:p>
          <w:p w14:paraId="598DD00E" w14:textId="01EB50D0" w:rsidR="007C7AC6" w:rsidRPr="00542ABF" w:rsidRDefault="007C7AC6" w:rsidP="007061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AC6">
              <w:rPr>
                <w:rFonts w:ascii="Times New Roman" w:hAnsi="Times New Roman" w:cs="Times New Roman"/>
                <w:sz w:val="28"/>
                <w:szCs w:val="20"/>
                <w:shd w:val="clear" w:color="auto" w:fill="FFFFFF"/>
              </w:rPr>
              <w:t>20 сентября 2012 г</w:t>
            </w:r>
          </w:p>
          <w:p w14:paraId="041D7646" w14:textId="77777777" w:rsidR="00542ABF" w:rsidRDefault="00542ABF" w:rsidP="007061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542ABF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Приоритет США 13/424 211</w:t>
              </w:r>
            </w:hyperlink>
          </w:p>
          <w:p w14:paraId="37CCA1C1" w14:textId="77777777" w:rsidR="00542ABF" w:rsidRPr="00542ABF" w:rsidRDefault="00542ABF" w:rsidP="00542A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542ABF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US20120239526A1</w:t>
              </w:r>
            </w:hyperlink>
          </w:p>
          <w:p w14:paraId="0CF1FABA" w14:textId="1938EC44" w:rsidR="00542ABF" w:rsidRPr="00542ABF" w:rsidRDefault="00542ABF" w:rsidP="007061B1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982" w:type="dxa"/>
          </w:tcPr>
          <w:p w14:paraId="3A2C5B88" w14:textId="561920DA" w:rsidR="00542ABF" w:rsidRPr="00911E1E" w:rsidRDefault="00542ABF" w:rsidP="007061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ABF">
              <w:rPr>
                <w:rFonts w:ascii="Times New Roman" w:hAnsi="Times New Roman" w:cs="Times New Roman"/>
                <w:bCs/>
                <w:sz w:val="28"/>
                <w:szCs w:val="28"/>
              </w:rPr>
              <w:t>Метод и устройство интерактивного музыкального концерта</w:t>
            </w:r>
          </w:p>
        </w:tc>
        <w:tc>
          <w:tcPr>
            <w:tcW w:w="2033" w:type="dxa"/>
          </w:tcPr>
          <w:p w14:paraId="52C04AF5" w14:textId="4D752A5F" w:rsidR="00542ABF" w:rsidRDefault="00542ABF" w:rsidP="007061B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 действует</w:t>
            </w:r>
          </w:p>
        </w:tc>
      </w:tr>
      <w:tr w:rsidR="00542ABF" w14:paraId="77BF006B" w14:textId="77777777" w:rsidTr="007C7AC6">
        <w:tc>
          <w:tcPr>
            <w:tcW w:w="1843" w:type="dxa"/>
            <w:shd w:val="clear" w:color="auto" w:fill="FFFFFF" w:themeFill="background1"/>
          </w:tcPr>
          <w:p w14:paraId="7D3EB93B" w14:textId="29A42008" w:rsidR="00542ABF" w:rsidRPr="007C7AC6" w:rsidRDefault="007C7AC6" w:rsidP="007061B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7AC6"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голосования</w:t>
            </w:r>
          </w:p>
        </w:tc>
        <w:tc>
          <w:tcPr>
            <w:tcW w:w="2279" w:type="dxa"/>
          </w:tcPr>
          <w:p w14:paraId="6A5515B3" w14:textId="24768F04" w:rsidR="00542ABF" w:rsidRPr="009967C5" w:rsidRDefault="007C7AC6" w:rsidP="007061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AC6">
              <w:rPr>
                <w:rFonts w:ascii="Times New Roman" w:hAnsi="Times New Roman" w:cs="Times New Roman"/>
                <w:sz w:val="28"/>
                <w:szCs w:val="28"/>
              </w:rPr>
              <w:t>G07C13/00</w:t>
            </w:r>
          </w:p>
        </w:tc>
        <w:tc>
          <w:tcPr>
            <w:tcW w:w="2920" w:type="dxa"/>
          </w:tcPr>
          <w:p w14:paraId="35A6BD32" w14:textId="77777777" w:rsidR="00542ABF" w:rsidRDefault="007C7AC6" w:rsidP="007061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7C7AC6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 xml:space="preserve">Заявление подано </w:t>
              </w:r>
              <w:proofErr w:type="spellStart"/>
              <w:r w:rsidRPr="007C7AC6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Джорданом</w:t>
              </w:r>
              <w:proofErr w:type="spellEnd"/>
              <w:r w:rsidRPr="007C7AC6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 xml:space="preserve"> Кайлом </w:t>
              </w:r>
              <w:proofErr w:type="spellStart"/>
              <w:r w:rsidRPr="007C7AC6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Даннингтоном</w:t>
              </w:r>
              <w:proofErr w:type="spellEnd"/>
            </w:hyperlink>
          </w:p>
          <w:p w14:paraId="5E73DA23" w14:textId="7791E2AF" w:rsidR="007C7AC6" w:rsidRDefault="007C7AC6" w:rsidP="007C7AC6">
            <w:pPr>
              <w:jc w:val="center"/>
              <w:rPr>
                <w:rFonts w:ascii="Times New Roman" w:hAnsi="Times New Roman" w:cs="Times New Roman"/>
                <w:sz w:val="28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0"/>
                <w:shd w:val="clear" w:color="auto" w:fill="FFFFFF"/>
              </w:rPr>
              <w:t>23 ноября 2017</w:t>
            </w:r>
          </w:p>
          <w:p w14:paraId="32B238BB" w14:textId="7A3719CC" w:rsidR="007C7AC6" w:rsidRDefault="007C7AC6" w:rsidP="007C7AC6">
            <w:pPr>
              <w:jc w:val="center"/>
              <w:rPr>
                <w:rFonts w:ascii="Times New Roman" w:hAnsi="Times New Roman" w:cs="Times New Roman"/>
                <w:sz w:val="28"/>
                <w:szCs w:val="20"/>
                <w:shd w:val="clear" w:color="auto" w:fill="FFFFFF"/>
              </w:rPr>
            </w:pPr>
            <w:r w:rsidRPr="007C7AC6">
              <w:rPr>
                <w:rFonts w:ascii="Times New Roman" w:hAnsi="Times New Roman" w:cs="Times New Roman"/>
                <w:sz w:val="28"/>
                <w:szCs w:val="20"/>
                <w:shd w:val="clear" w:color="auto" w:fill="FFFFFF"/>
              </w:rPr>
              <w:t>Приоритет США</w:t>
            </w:r>
          </w:p>
          <w:p w14:paraId="75CE7119" w14:textId="77777777" w:rsidR="007C7AC6" w:rsidRDefault="007C7AC6" w:rsidP="007C7A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7C7AC6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15/584,295</w:t>
              </w:r>
            </w:hyperlink>
          </w:p>
          <w:p w14:paraId="5D2E6B3D" w14:textId="0987B348" w:rsidR="007C7AC6" w:rsidRPr="007C7AC6" w:rsidRDefault="007C7AC6" w:rsidP="007C7AC6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</w:pPr>
            <w:hyperlink r:id="rId12" w:history="1">
              <w:r w:rsidRPr="007C7AC6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US20170337761A1</w:t>
              </w:r>
            </w:hyperlink>
          </w:p>
        </w:tc>
        <w:tc>
          <w:tcPr>
            <w:tcW w:w="1982" w:type="dxa"/>
          </w:tcPr>
          <w:p w14:paraId="07834096" w14:textId="77777777" w:rsidR="007C7AC6" w:rsidRPr="007C7AC6" w:rsidRDefault="007C7AC6" w:rsidP="007C7AC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C7AC6">
              <w:rPr>
                <w:rFonts w:ascii="Times New Roman" w:hAnsi="Times New Roman" w:cs="Times New Roman"/>
                <w:sz w:val="28"/>
              </w:rPr>
              <w:t>Система голосования за концертную музыку</w:t>
            </w:r>
          </w:p>
          <w:p w14:paraId="58D4DCA0" w14:textId="77777777" w:rsidR="00542ABF" w:rsidRPr="00911E1E" w:rsidRDefault="00542ABF" w:rsidP="007061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3" w:type="dxa"/>
          </w:tcPr>
          <w:p w14:paraId="7920BB51" w14:textId="1BB7A083" w:rsidR="00542ABF" w:rsidRDefault="007C7AC6" w:rsidP="007061B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 действует</w:t>
            </w:r>
          </w:p>
        </w:tc>
      </w:tr>
      <w:tr w:rsidR="00542ABF" w:rsidRPr="00E53FD3" w14:paraId="4B7E6C02" w14:textId="77777777" w:rsidTr="007C7AC6">
        <w:tc>
          <w:tcPr>
            <w:tcW w:w="1843" w:type="dxa"/>
          </w:tcPr>
          <w:p w14:paraId="757FFB95" w14:textId="49180C3F" w:rsidR="00542ABF" w:rsidRPr="007C7AC6" w:rsidRDefault="007C7AC6" w:rsidP="007061B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7AC6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С</w:t>
            </w:r>
            <w:r w:rsidRPr="007C7AC6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оздание канала для выделенной группы конечных пользователей, например вставка целевой рекламы на основе профилей конечных пользователей</w:t>
            </w:r>
          </w:p>
        </w:tc>
        <w:tc>
          <w:tcPr>
            <w:tcW w:w="2279" w:type="dxa"/>
          </w:tcPr>
          <w:p w14:paraId="49E386ED" w14:textId="3C451125" w:rsidR="00542ABF" w:rsidRPr="009967C5" w:rsidRDefault="007C7AC6" w:rsidP="007061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7AC6">
              <w:rPr>
                <w:rFonts w:ascii="Times New Roman" w:hAnsi="Times New Roman" w:cs="Times New Roman"/>
                <w:sz w:val="28"/>
                <w:szCs w:val="28"/>
              </w:rPr>
              <w:t>H04N21/2668</w:t>
            </w:r>
          </w:p>
        </w:tc>
        <w:tc>
          <w:tcPr>
            <w:tcW w:w="2920" w:type="dxa"/>
          </w:tcPr>
          <w:p w14:paraId="75234B9C" w14:textId="77777777" w:rsidR="00542ABF" w:rsidRDefault="007C7AC6" w:rsidP="007061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7C7AC6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Заявка</w:t>
              </w:r>
              <w:r w:rsidRPr="007C7AC6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 xml:space="preserve">, </w:t>
              </w:r>
              <w:r w:rsidRPr="007C7AC6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поданная</w:t>
              </w:r>
              <w:r w:rsidRPr="007C7AC6">
                <w:rPr>
                  <w:rStyle w:val="title-text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en-US"/>
                </w:rPr>
                <w:t xml:space="preserve"> Nielsen Co US LLC</w:t>
              </w:r>
            </w:hyperlink>
          </w:p>
          <w:p w14:paraId="6D88EF66" w14:textId="3955052E" w:rsidR="00E53FD3" w:rsidRDefault="00E53FD3" w:rsidP="00E53FD3">
            <w:pPr>
              <w:shd w:val="clear" w:color="auto" w:fill="FFFFFF"/>
              <w:spacing w:line="270" w:lineRule="atLeast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25 мая </w:t>
            </w:r>
            <w:r w:rsidR="007C7AC6" w:rsidRPr="007C7AC6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2021</w:t>
            </w:r>
            <w:r w:rsidRPr="00E53FD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3FD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риоритет США</w:t>
            </w:r>
          </w:p>
          <w:p w14:paraId="0DB4898F" w14:textId="26A1322E" w:rsidR="00E53FD3" w:rsidRPr="00E53FD3" w:rsidRDefault="00E53FD3" w:rsidP="00E53FD3">
            <w:pPr>
              <w:shd w:val="clear" w:color="auto" w:fill="FFFFFF"/>
              <w:spacing w:line="270" w:lineRule="atLeast"/>
              <w:jc w:val="center"/>
              <w:rPr>
                <w:rFonts w:ascii="Times New Roman" w:hAnsi="Times New Roman" w:cs="Times New Roman"/>
                <w:sz w:val="40"/>
                <w:szCs w:val="28"/>
                <w:shd w:val="clear" w:color="auto" w:fill="FFFFFF"/>
              </w:rPr>
            </w:pPr>
            <w:r w:rsidRPr="00E53FD3">
              <w:rPr>
                <w:rFonts w:ascii="Times New Roman" w:hAnsi="Times New Roman" w:cs="Times New Roman"/>
                <w:color w:val="202124"/>
                <w:sz w:val="28"/>
                <w:szCs w:val="20"/>
                <w:shd w:val="clear" w:color="auto" w:fill="FFFFFF"/>
              </w:rPr>
              <w:t>16/118 226 </w:t>
            </w:r>
          </w:p>
          <w:p w14:paraId="609AE442" w14:textId="5D53A90B" w:rsidR="00E53FD3" w:rsidRPr="007C7AC6" w:rsidRDefault="00E53FD3" w:rsidP="00E53FD3">
            <w:pPr>
              <w:shd w:val="clear" w:color="auto" w:fill="FFFFFF"/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E53FD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US11019386B2</w:t>
            </w:r>
          </w:p>
          <w:p w14:paraId="38BC1F6B" w14:textId="0D9A57B4" w:rsidR="007C7AC6" w:rsidRPr="007C7AC6" w:rsidRDefault="007C7AC6" w:rsidP="007061B1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982" w:type="dxa"/>
          </w:tcPr>
          <w:p w14:paraId="5B94A1E5" w14:textId="77777777" w:rsidR="00E53FD3" w:rsidRPr="00E53FD3" w:rsidRDefault="00E53FD3" w:rsidP="00E53F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53FD3">
              <w:rPr>
                <w:rFonts w:ascii="Times New Roman" w:hAnsi="Times New Roman" w:cs="Times New Roman"/>
                <w:sz w:val="28"/>
              </w:rPr>
              <w:t xml:space="preserve">Методы и аппарат для проверки и/или правильной информации о </w:t>
            </w:r>
            <w:proofErr w:type="spellStart"/>
            <w:r w:rsidRPr="00E53FD3">
              <w:rPr>
                <w:rFonts w:ascii="Times New Roman" w:hAnsi="Times New Roman" w:cs="Times New Roman"/>
                <w:sz w:val="28"/>
              </w:rPr>
              <w:t>лайнапе</w:t>
            </w:r>
            <w:proofErr w:type="spellEnd"/>
          </w:p>
          <w:p w14:paraId="240E263D" w14:textId="77777777" w:rsidR="00542ABF" w:rsidRPr="00E53FD3" w:rsidRDefault="00542ABF" w:rsidP="007061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3" w:type="dxa"/>
          </w:tcPr>
          <w:p w14:paraId="31F8C3E3" w14:textId="77777777" w:rsidR="00542ABF" w:rsidRDefault="00E53FD3" w:rsidP="007061B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Действует </w:t>
            </w:r>
          </w:p>
          <w:p w14:paraId="4DDDA7E2" w14:textId="5C5432FE" w:rsidR="00E53FD3" w:rsidRPr="00E53FD3" w:rsidRDefault="00E53FD3" w:rsidP="00E53FD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(до 29 августа </w:t>
            </w:r>
            <w:r w:rsidRPr="00E53FD3">
              <w:rPr>
                <w:rFonts w:ascii="Times New Roman" w:hAnsi="Times New Roman" w:cs="Times New Roman"/>
                <w:sz w:val="28"/>
                <w:szCs w:val="20"/>
                <w:shd w:val="clear" w:color="auto" w:fill="FFFFFF"/>
              </w:rPr>
              <w:t>2034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</w:tbl>
    <w:p w14:paraId="35164983" w14:textId="77777777" w:rsidR="00542ABF" w:rsidRPr="00E53FD3" w:rsidRDefault="00542ABF" w:rsidP="00DA256F">
      <w:pPr>
        <w:jc w:val="center"/>
        <w:rPr>
          <w:rFonts w:ascii="Times New Roman" w:hAnsi="Times New Roman" w:cs="Times New Roman"/>
          <w:sz w:val="28"/>
        </w:rPr>
      </w:pPr>
    </w:p>
    <w:p w14:paraId="3C8AD9EB" w14:textId="7DF229F2" w:rsidR="00554CD1" w:rsidRDefault="00554CD1" w:rsidP="00554CD1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освои</w:t>
      </w:r>
      <w:r w:rsidR="00A16A8E"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проведения патентного поиска по заданной тематике.</w:t>
      </w:r>
    </w:p>
    <w:p w14:paraId="35D6F259" w14:textId="77777777" w:rsidR="00554CD1" w:rsidRPr="00C93025" w:rsidRDefault="00554CD1" w:rsidP="00C93025">
      <w:pPr>
        <w:jc w:val="both"/>
        <w:rPr>
          <w:rFonts w:ascii="Times New Roman" w:hAnsi="Times New Roman" w:cs="Times New Roman"/>
          <w:sz w:val="28"/>
        </w:rPr>
      </w:pPr>
    </w:p>
    <w:sectPr w:rsidR="00554CD1" w:rsidRPr="00C93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C7"/>
    <w:rsid w:val="001A0961"/>
    <w:rsid w:val="001F18C5"/>
    <w:rsid w:val="003E60C1"/>
    <w:rsid w:val="004204DC"/>
    <w:rsid w:val="00542ABF"/>
    <w:rsid w:val="00554CD1"/>
    <w:rsid w:val="005E6FBF"/>
    <w:rsid w:val="006534B7"/>
    <w:rsid w:val="007C7AC6"/>
    <w:rsid w:val="008E4E44"/>
    <w:rsid w:val="00A16A8E"/>
    <w:rsid w:val="00A276C7"/>
    <w:rsid w:val="00C93025"/>
    <w:rsid w:val="00D204C0"/>
    <w:rsid w:val="00DA256F"/>
    <w:rsid w:val="00DB155A"/>
    <w:rsid w:val="00E212BD"/>
    <w:rsid w:val="00E52918"/>
    <w:rsid w:val="00E53FD3"/>
    <w:rsid w:val="00FC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4BFC"/>
  <w15:chartTrackingRefBased/>
  <w15:docId w15:val="{9486F910-43FF-4238-AC7E-868C613A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918"/>
  </w:style>
  <w:style w:type="paragraph" w:styleId="1">
    <w:name w:val="heading 1"/>
    <w:basedOn w:val="a"/>
    <w:next w:val="a"/>
    <w:link w:val="10"/>
    <w:uiPriority w:val="9"/>
    <w:qFormat/>
    <w:rsid w:val="00542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basedOn w:val="a0"/>
    <w:uiPriority w:val="99"/>
    <w:rsid w:val="00E52918"/>
    <w:rPr>
      <w:rFonts w:ascii="Bookman Old Style" w:hAnsi="Bookman Old Style" w:cs="Bookman Old Style" w:hint="default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542A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styleId="a3">
    <w:name w:val="Hyperlink"/>
    <w:basedOn w:val="a0"/>
    <w:uiPriority w:val="99"/>
    <w:unhideWhenUsed/>
    <w:rsid w:val="00542ABF"/>
    <w:rPr>
      <w:color w:val="0000FF"/>
      <w:u w:val="single"/>
    </w:rPr>
  </w:style>
  <w:style w:type="table" w:styleId="a4">
    <w:name w:val="Table Grid"/>
    <w:basedOn w:val="a1"/>
    <w:uiPriority w:val="39"/>
    <w:rsid w:val="0054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a0"/>
    <w:rsid w:val="00542ABF"/>
  </w:style>
  <w:style w:type="character" w:customStyle="1" w:styleId="title-text">
    <w:name w:val="title-text"/>
    <w:basedOn w:val="a0"/>
    <w:rsid w:val="00542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/patent/US20120239526A1/en" TargetMode="External"/><Relationship Id="rId13" Type="http://schemas.openxmlformats.org/officeDocument/2006/relationships/hyperlink" Target="https://patents.google.com/?assignee=Nielsen+Co+US+LL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tents.google.com/?assignee=Revare+Steven+L" TargetMode="External"/><Relationship Id="rId12" Type="http://schemas.openxmlformats.org/officeDocument/2006/relationships/hyperlink" Target="https://patents.google.com/patent/US20170337761A1/en?q=music+concert&amp;oq=music+conce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atents.google.com/patent/US20170337761A1/en?q=music+concert&amp;oq=music+concert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patents.google.com/?assignee=Jordan+Kyle+Dunningt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atents.google.com/patent/US20120239526A1/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4</cp:revision>
  <dcterms:created xsi:type="dcterms:W3CDTF">2022-05-26T21:04:00Z</dcterms:created>
  <dcterms:modified xsi:type="dcterms:W3CDTF">2022-05-28T17:01:00Z</dcterms:modified>
</cp:coreProperties>
</file>