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1B365D"/>
          <w:sz w:val="48"/>
        </w:rPr>
        <w:t>Estrategia y Guión de Defensa Oral</w:t>
      </w:r>
    </w:p>
    <w:p>
      <w:pPr>
        <w:spacing w:before="0" w:after="480"/>
        <w:jc w:val="center"/>
      </w:pPr>
      <w:r>
        <w:rPr>
          <w:rFonts w:ascii="Arial" w:hAnsi="Arial"/>
          <w:i/>
          <w:color w:val="2E5B88"/>
          <w:sz w:val="26"/>
        </w:rPr>
        <w:t>Sistema de Gestión de Viajes Aventura — Disertación Técnica y Defensa de Proyecto</w:t>
      </w:r>
    </w:p>
    <w:p>
      <w:pPr>
        <w:spacing w:after="360"/>
        <w:pBdr>
          <w:bottom w:val="single" w:sz="12" w:space="1" w:color="1B365D"/>
        </w:pBdr>
      </w:pPr>
    </w:p>
    <w:p>
      <w:pPr>
        <w:keepNext/>
        <w:spacing w:before="360" w:after="160"/>
      </w:pPr>
      <w:r>
        <w:rPr>
          <w:rFonts w:ascii="Arial" w:hAnsi="Arial"/>
          <w:b/>
          <w:color w:val="1B365D"/>
          <w:sz w:val="32"/>
        </w:rPr>
        <w:t>1. Contexto Real de Negocio y Diagnóstico de Operaciones</w:t>
      </w:r>
    </w:p>
    <w:p>
      <w:pPr>
        <w:spacing w:before="0" w:after="120" w:line="276" w:lineRule="auto"/>
      </w:pPr>
      <w:r>
        <w:rPr>
          <w:rFonts w:ascii="Arial" w:hAnsi="Arial"/>
          <w:color w:val="222222"/>
          <w:sz w:val="22"/>
        </w:rPr>
        <w:t>La agencia de viajes Viajes Aventura, fundada en Valparaíso por sus tres socios (Paulina, Matías e Ignacio), basaba su modelo operativo en el armado y comercialización de paquetes turísticos combinados. Sin embargo, la gestión diaria se realizaba mediante herramientas informales: planillas de cálculo compartidas (Excel) y cuadernos manuscritos de registro.</w:t>
      </w:r>
    </w:p>
    <w:p>
      <w:pPr>
        <w:spacing w:before="0" w:after="120" w:line="276" w:lineRule="auto"/>
      </w:pPr>
      <w:r>
        <w:rPr>
          <w:rFonts w:ascii="Arial" w:hAnsi="Arial"/>
          <w:color w:val="222222"/>
          <w:sz w:val="22"/>
        </w:rPr>
        <w:t>Un análisis exhaustivo sobre el historial reciente de 214 reservas reveló severas inconsistencias operativas que comprometían la rentabilidad y reputación de la empresa:</w:t>
      </w:r>
    </w:p>
    <w:p>
      <w:pPr>
        <w:pStyle w:val="ListBullet"/>
        <w:spacing w:before="0" w:after="80" w:line="276" w:lineRule="auto"/>
      </w:pPr>
      <w:r>
        <w:rPr>
          <w:rFonts w:ascii="Arial" w:hAnsi="Arial"/>
          <w:b/>
          <w:color w:val="222222"/>
          <w:sz w:val="22"/>
        </w:rPr>
        <w:t xml:space="preserve">Reservas Duplicadas: </w:t>
      </w:r>
      <w:r>
        <w:rPr>
          <w:rFonts w:ascii="Arial" w:hAnsi="Arial"/>
          <w:color w:val="222222"/>
          <w:sz w:val="22"/>
        </w:rPr>
        <w:t>19 duplicidades detectadas por falta de un registro centralizado y validación de clientes.</w:t>
      </w:r>
    </w:p>
    <w:p>
      <w:pPr>
        <w:pStyle w:val="ListBullet"/>
        <w:spacing w:before="0" w:after="80" w:line="276" w:lineRule="auto"/>
      </w:pPr>
      <w:r>
        <w:rPr>
          <w:rFonts w:ascii="Arial" w:hAnsi="Arial"/>
          <w:b/>
          <w:color w:val="222222"/>
          <w:sz w:val="22"/>
        </w:rPr>
        <w:t xml:space="preserve">Sobreventa (Overbooking): </w:t>
      </w:r>
      <w:r>
        <w:rPr>
          <w:rFonts w:ascii="Arial" w:hAnsi="Arial"/>
          <w:color w:val="222222"/>
          <w:sz w:val="22"/>
        </w:rPr>
        <w:t>6 compras confirmadas por encima de la capacidad de transporte y alojamiento.</w:t>
      </w:r>
    </w:p>
    <w:p>
      <w:pPr>
        <w:pStyle w:val="ListBullet"/>
        <w:spacing w:before="0" w:after="80" w:line="276" w:lineRule="auto"/>
      </w:pPr>
      <w:r>
        <w:rPr>
          <w:rFonts w:ascii="Arial" w:hAnsi="Arial"/>
          <w:b/>
          <w:color w:val="222222"/>
          <w:sz w:val="22"/>
        </w:rPr>
        <w:t xml:space="preserve">Fechas Expiradas: </w:t>
      </w:r>
      <w:r>
        <w:rPr>
          <w:rFonts w:ascii="Arial" w:hAnsi="Arial"/>
          <w:color w:val="222222"/>
          <w:sz w:val="22"/>
        </w:rPr>
        <w:t>3 comprobantes emitidos para itinerarios cuyas fechas de salida ya habían transcurrido.</w:t>
      </w:r>
    </w:p>
    <w:p>
      <w:pPr>
        <w:pStyle w:val="ListBullet"/>
        <w:spacing w:before="0" w:after="80" w:line="276" w:lineRule="auto"/>
      </w:pPr>
      <w:r>
        <w:rPr>
          <w:rFonts w:ascii="Arial" w:hAnsi="Arial"/>
          <w:b/>
          <w:color w:val="222222"/>
          <w:sz w:val="22"/>
        </w:rPr>
        <w:t xml:space="preserve">Errores de Tarifa: </w:t>
      </w:r>
      <w:r>
        <w:rPr>
          <w:rFonts w:ascii="Arial" w:hAnsi="Arial"/>
          <w:color w:val="222222"/>
          <w:sz w:val="22"/>
        </w:rPr>
        <w:t>4 paquetes cobrados con desfases de tarifa debido a modificaciones posteriores en el costo de los destinos.</w:t>
      </w:r>
    </w:p>
    <w:p>
      <w:pPr>
        <w:spacing w:before="0" w:after="120" w:line="276" w:lineRule="auto"/>
      </w:pPr>
      <w:r>
        <w:rPr>
          <w:rFonts w:ascii="Arial" w:hAnsi="Arial"/>
          <w:color w:val="222222"/>
          <w:sz w:val="22"/>
        </w:rPr>
        <w:t>Frente a este escenario, el desarrollo del nuevo software no se limitó a una implementación técnica abstracta, sino a la creación de una arquitectura orientada a objetos capaz de automatizar y garantizar el cumplimiento estricto de las 17 reglas de negocio (R1 a R17).</w:t>
      </w:r>
    </w:p>
    <w:p>
      <w:pPr>
        <w:keepNext/>
        <w:spacing w:before="360" w:after="160"/>
      </w:pPr>
      <w:r>
        <w:rPr>
          <w:rFonts w:ascii="Arial" w:hAnsi="Arial"/>
          <w:b/>
          <w:color w:val="1B365D"/>
          <w:sz w:val="32"/>
        </w:rPr>
        <w:t>2. Matriz de Cobertura de Reglas de Negocio (R1 a R17)</w:t>
      </w:r>
    </w:p>
    <w:p>
      <w:pPr>
        <w:spacing w:before="0" w:after="120" w:line="276" w:lineRule="auto"/>
      </w:pPr>
      <w:r>
        <w:rPr>
          <w:rFonts w:ascii="Arial" w:hAnsi="Arial"/>
          <w:color w:val="222222"/>
          <w:sz w:val="22"/>
        </w:rPr>
        <w:t>A continuación se presenta la correspondencia entre los requerimientos de la agencia, el módulo técnico correspondiente y la solución programática implementada:</w:t>
      </w:r>
    </w:p>
    <w:tbl>
      <w:tblPr>
        <w:tblW w:type="auto" w:w="0"/>
        <w:jc w:val="center"/>
        <w:tblLayout w:type="fixed"/>
        <w:tblLook w:firstColumn="1" w:firstRow="1" w:lastColumn="0" w:lastRow="0" w:noHBand="0" w:noVBand="1" w:val="04A0"/>
      </w:tblPr>
      <w:tblGrid>
        <w:gridCol w:w="3120"/>
        <w:gridCol w:w="3120"/>
        <w:gridCol w:w="3120"/>
      </w:tblGrid>
      <w:tr>
        <w:tc>
          <w:tcPr>
            <w:tcW w:type="dxa" w:w="1584"/>
            <w:shd w:val="clear" w:color="auto" w:fill="1B365D"/>
            <w:tcMar>
              <w:top w:w="120" w:type="dxa"/>
              <w:bottom w:w="120" w:type="dxa"/>
              <w:left w:w="120" w:type="dxa"/>
              <w:right w:w="120" w:type="dxa"/>
            </w:tcMar>
          </w:tcPr>
          <w:p>
            <w:pPr>
              <w:jc w:val="left"/>
            </w:pPr>
            <w:r>
              <w:rPr>
                <w:rFonts w:ascii="Arial" w:hAnsi="Arial"/>
                <w:b/>
                <w:color w:val="FFFFFF"/>
                <w:sz w:val="20"/>
              </w:rPr>
              <w:t>Regla</w:t>
            </w:r>
          </w:p>
        </w:tc>
        <w:tc>
          <w:tcPr>
            <w:tcW w:type="dxa" w:w="3024"/>
            <w:shd w:val="clear" w:color="auto" w:fill="1B365D"/>
            <w:tcMar>
              <w:top w:w="120" w:type="dxa"/>
              <w:bottom w:w="120" w:type="dxa"/>
              <w:left w:w="120" w:type="dxa"/>
              <w:right w:w="120" w:type="dxa"/>
            </w:tcMar>
          </w:tcPr>
          <w:p>
            <w:pPr>
              <w:jc w:val="left"/>
            </w:pPr>
            <w:r>
              <w:rPr>
                <w:rFonts w:ascii="Arial" w:hAnsi="Arial"/>
                <w:b/>
                <w:color w:val="FFFFFF"/>
                <w:sz w:val="20"/>
              </w:rPr>
              <w:t>Módulo / Clase</w:t>
            </w:r>
          </w:p>
        </w:tc>
        <w:tc>
          <w:tcPr>
            <w:tcW w:type="dxa" w:w="4752"/>
            <w:shd w:val="clear" w:color="auto" w:fill="1B365D"/>
            <w:tcMar>
              <w:top w:w="120" w:type="dxa"/>
              <w:bottom w:w="120" w:type="dxa"/>
              <w:left w:w="120" w:type="dxa"/>
              <w:right w:w="120" w:type="dxa"/>
            </w:tcMar>
          </w:tcPr>
          <w:p>
            <w:pPr>
              <w:jc w:val="left"/>
            </w:pPr>
            <w:r>
              <w:rPr>
                <w:rFonts w:ascii="Arial" w:hAnsi="Arial"/>
                <w:b/>
                <w:color w:val="FFFFFF"/>
                <w:sz w:val="20"/>
              </w:rPr>
              <w:t>Descripción y Mecanismo Técnico</w:t>
            </w:r>
          </w:p>
        </w:tc>
      </w:tr>
      <w:tr>
        <w:tc>
          <w:tcPr>
            <w:tcW w:type="dxa" w:w="1584"/>
            <w:shd w:val="clear" w:color="auto" w:fill="FFFFFF"/>
            <w:tcMar>
              <w:top w:w="100" w:type="dxa"/>
              <w:bottom w:w="100" w:type="dxa"/>
              <w:left w:w="120" w:type="dxa"/>
              <w:right w:w="120" w:type="dxa"/>
            </w:tcMar>
          </w:tcPr>
          <w:p>
            <w:pPr>
              <w:jc w:val="left"/>
            </w:pPr>
            <w:r>
              <w:rPr>
                <w:rFonts w:ascii="Arial" w:hAnsi="Arial"/>
                <w:color w:val="222222"/>
                <w:sz w:val="19"/>
              </w:rPr>
              <w:t>R1 - R2</w:t>
            </w:r>
          </w:p>
        </w:tc>
        <w:tc>
          <w:tcPr>
            <w:tcW w:type="dxa" w:w="3024"/>
            <w:shd w:val="clear" w:color="auto" w:fill="FFFFFF"/>
            <w:tcMar>
              <w:top w:w="100" w:type="dxa"/>
              <w:bottom w:w="100" w:type="dxa"/>
              <w:left w:w="120" w:type="dxa"/>
              <w:right w:w="120" w:type="dxa"/>
            </w:tcMar>
          </w:tcPr>
          <w:p>
            <w:pPr>
              <w:jc w:val="left"/>
            </w:pPr>
            <w:r>
              <w:rPr>
                <w:rFonts w:ascii="Arial" w:hAnsi="Arial"/>
                <w:color w:val="222222"/>
                <w:sz w:val="19"/>
              </w:rPr>
              <w:t>Destino (`models/destino.py`)</w:t>
            </w:r>
          </w:p>
        </w:tc>
        <w:tc>
          <w:tcPr>
            <w:tcW w:type="dxa" w:w="4752"/>
            <w:shd w:val="clear" w:color="auto" w:fill="FFFFFF"/>
            <w:tcMar>
              <w:top w:w="100" w:type="dxa"/>
              <w:bottom w:w="100" w:type="dxa"/>
              <w:left w:w="120" w:type="dxa"/>
              <w:right w:w="120" w:type="dxa"/>
            </w:tcMar>
          </w:tcPr>
          <w:p>
            <w:pPr>
              <w:jc w:val="left"/>
            </w:pPr>
            <w:r>
              <w:rPr>
                <w:rFonts w:ascii="Arial" w:hAnsi="Arial"/>
                <w:color w:val="222222"/>
                <w:sz w:val="19"/>
              </w:rPr>
              <w:t>Nombre único en catálogo y costo base obligatorio mayor a cero.</w:t>
            </w:r>
          </w:p>
        </w:tc>
      </w:tr>
      <w:tr>
        <w:tc>
          <w:tcPr>
            <w:tcW w:type="dxa" w:w="1584"/>
            <w:shd w:val="clear" w:color="auto" w:fill="F4F6F8"/>
            <w:tcMar>
              <w:top w:w="100" w:type="dxa"/>
              <w:bottom w:w="100" w:type="dxa"/>
              <w:left w:w="120" w:type="dxa"/>
              <w:right w:w="120" w:type="dxa"/>
            </w:tcMar>
          </w:tcPr>
          <w:p>
            <w:pPr>
              <w:jc w:val="left"/>
            </w:pPr>
            <w:r>
              <w:rPr>
                <w:rFonts w:ascii="Arial" w:hAnsi="Arial"/>
                <w:color w:val="222222"/>
                <w:sz w:val="19"/>
              </w:rPr>
              <w:t>R3 - R5</w:t>
            </w:r>
          </w:p>
        </w:tc>
        <w:tc>
          <w:tcPr>
            <w:tcW w:type="dxa" w:w="3024"/>
            <w:shd w:val="clear" w:color="auto" w:fill="F4F6F8"/>
            <w:tcMar>
              <w:top w:w="100" w:type="dxa"/>
              <w:bottom w:w="100" w:type="dxa"/>
              <w:left w:w="120" w:type="dxa"/>
              <w:right w:w="120" w:type="dxa"/>
            </w:tcMar>
          </w:tcPr>
          <w:p>
            <w:pPr>
              <w:jc w:val="left"/>
            </w:pPr>
            <w:r>
              <w:rPr>
                <w:rFonts w:ascii="Arial" w:hAnsi="Arial"/>
                <w:color w:val="222222"/>
                <w:sz w:val="19"/>
              </w:rPr>
              <w:t>Paquetes (`models/paquete.py`)</w:t>
            </w:r>
          </w:p>
        </w:tc>
        <w:tc>
          <w:tcPr>
            <w:tcW w:type="dxa" w:w="4752"/>
            <w:shd w:val="clear" w:color="auto" w:fill="F4F6F8"/>
            <w:tcMar>
              <w:top w:w="100" w:type="dxa"/>
              <w:bottom w:w="100" w:type="dxa"/>
              <w:left w:w="120" w:type="dxa"/>
              <w:right w:w="120" w:type="dxa"/>
            </w:tcMar>
          </w:tcPr>
          <w:p>
            <w:pPr>
              <w:jc w:val="left"/>
            </w:pPr>
            <w:r>
              <w:rPr>
                <w:rFonts w:ascii="Arial" w:hAnsi="Arial"/>
                <w:color w:val="222222"/>
                <w:sz w:val="19"/>
              </w:rPr>
              <w:t>Agrupación de 2 a 5 destinos sin repetir, fecha regreso &gt; salida y cupo &gt; 0.</w:t>
            </w:r>
          </w:p>
        </w:tc>
      </w:tr>
      <w:tr>
        <w:tc>
          <w:tcPr>
            <w:tcW w:type="dxa" w:w="1584"/>
            <w:shd w:val="clear" w:color="auto" w:fill="FFFFFF"/>
            <w:tcMar>
              <w:top w:w="100" w:type="dxa"/>
              <w:bottom w:w="100" w:type="dxa"/>
              <w:left w:w="120" w:type="dxa"/>
              <w:right w:w="120" w:type="dxa"/>
            </w:tcMar>
          </w:tcPr>
          <w:p>
            <w:pPr>
              <w:jc w:val="left"/>
            </w:pPr>
            <w:r>
              <w:rPr>
                <w:rFonts w:ascii="Arial" w:hAnsi="Arial"/>
                <w:color w:val="222222"/>
                <w:sz w:val="19"/>
              </w:rPr>
              <w:t>R6 - R7</w:t>
            </w:r>
          </w:p>
        </w:tc>
        <w:tc>
          <w:tcPr>
            <w:tcW w:type="dxa" w:w="3024"/>
            <w:shd w:val="clear" w:color="auto" w:fill="FFFFFF"/>
            <w:tcMar>
              <w:top w:w="100" w:type="dxa"/>
              <w:bottom w:w="100" w:type="dxa"/>
              <w:left w:w="120" w:type="dxa"/>
              <w:right w:w="120" w:type="dxa"/>
            </w:tcMar>
          </w:tcPr>
          <w:p>
            <w:pPr>
              <w:jc w:val="left"/>
            </w:pPr>
            <w:r>
              <w:rPr>
                <w:rFonts w:ascii="Arial" w:hAnsi="Arial"/>
                <w:color w:val="222222"/>
                <w:sz w:val="19"/>
              </w:rPr>
              <w:t>Paquetes (`models/paquete.py`)</w:t>
            </w:r>
          </w:p>
        </w:tc>
        <w:tc>
          <w:tcPr>
            <w:tcW w:type="dxa" w:w="4752"/>
            <w:shd w:val="clear" w:color="auto" w:fill="FFFFFF"/>
            <w:tcMar>
              <w:top w:w="100" w:type="dxa"/>
              <w:bottom w:w="100" w:type="dxa"/>
              <w:left w:w="120" w:type="dxa"/>
              <w:right w:w="120" w:type="dxa"/>
            </w:tcMar>
          </w:tcPr>
          <w:p>
            <w:pPr>
              <w:jc w:val="left"/>
            </w:pPr>
            <w:r>
              <w:rPr>
                <w:rFonts w:ascii="Arial" w:hAnsi="Arial"/>
                <w:color w:val="222222"/>
                <w:sz w:val="19"/>
              </w:rPr>
              <w:t>Cálculo de precio base (costo + margen) y congelamiento de tarifa publicada.</w:t>
            </w:r>
          </w:p>
        </w:tc>
      </w:tr>
      <w:tr>
        <w:tc>
          <w:tcPr>
            <w:tcW w:type="dxa" w:w="1584"/>
            <w:shd w:val="clear" w:color="auto" w:fill="F4F6F8"/>
            <w:tcMar>
              <w:top w:w="100" w:type="dxa"/>
              <w:bottom w:w="100" w:type="dxa"/>
              <w:left w:w="120" w:type="dxa"/>
              <w:right w:w="120" w:type="dxa"/>
            </w:tcMar>
          </w:tcPr>
          <w:p>
            <w:pPr>
              <w:jc w:val="left"/>
            </w:pPr>
            <w:r>
              <w:rPr>
                <w:rFonts w:ascii="Arial" w:hAnsi="Arial"/>
                <w:color w:val="222222"/>
                <w:sz w:val="19"/>
              </w:rPr>
              <w:t>R8</w:t>
            </w:r>
          </w:p>
        </w:tc>
        <w:tc>
          <w:tcPr>
            <w:tcW w:type="dxa" w:w="3024"/>
            <w:shd w:val="clear" w:color="auto" w:fill="F4F6F8"/>
            <w:tcMar>
              <w:top w:w="100" w:type="dxa"/>
              <w:bottom w:w="100" w:type="dxa"/>
              <w:left w:w="120" w:type="dxa"/>
              <w:right w:w="120" w:type="dxa"/>
            </w:tcMar>
          </w:tcPr>
          <w:p>
            <w:pPr>
              <w:jc w:val="left"/>
            </w:pPr>
            <w:r>
              <w:rPr>
                <w:rFonts w:ascii="Arial" w:hAnsi="Arial"/>
                <w:color w:val="222222"/>
                <w:sz w:val="19"/>
              </w:rPr>
              <w:t>Catálogo (`controllers/sistema_gestion.py`)</w:t>
            </w:r>
          </w:p>
        </w:tc>
        <w:tc>
          <w:tcPr>
            <w:tcW w:type="dxa" w:w="4752"/>
            <w:shd w:val="clear" w:color="auto" w:fill="F4F6F8"/>
            <w:tcMar>
              <w:top w:w="100" w:type="dxa"/>
              <w:bottom w:w="100" w:type="dxa"/>
              <w:left w:w="120" w:type="dxa"/>
              <w:right w:w="120" w:type="dxa"/>
            </w:tcMar>
          </w:tcPr>
          <w:p>
            <w:pPr>
              <w:jc w:val="left"/>
            </w:pPr>
            <w:r>
              <w:rPr>
                <w:rFonts w:ascii="Arial" w:hAnsi="Arial"/>
                <w:color w:val="222222"/>
                <w:sz w:val="19"/>
              </w:rPr>
              <w:t>Borrado lógico (`disponible = False`) si el destino pertenece a paquetes activos.</w:t>
            </w:r>
          </w:p>
        </w:tc>
      </w:tr>
      <w:tr>
        <w:tc>
          <w:tcPr>
            <w:tcW w:type="dxa" w:w="1584"/>
            <w:shd w:val="clear" w:color="auto" w:fill="FFFFFF"/>
            <w:tcMar>
              <w:top w:w="100" w:type="dxa"/>
              <w:bottom w:w="100" w:type="dxa"/>
              <w:left w:w="120" w:type="dxa"/>
              <w:right w:w="120" w:type="dxa"/>
            </w:tcMar>
          </w:tcPr>
          <w:p>
            <w:pPr>
              <w:jc w:val="left"/>
            </w:pPr>
            <w:r>
              <w:rPr>
                <w:rFonts w:ascii="Arial" w:hAnsi="Arial"/>
                <w:color w:val="222222"/>
                <w:sz w:val="19"/>
              </w:rPr>
              <w:t>R9 - R11</w:t>
            </w:r>
          </w:p>
        </w:tc>
        <w:tc>
          <w:tcPr>
            <w:tcW w:type="dxa" w:w="3024"/>
            <w:shd w:val="clear" w:color="auto" w:fill="FFFFFF"/>
            <w:tcMar>
              <w:top w:w="100" w:type="dxa"/>
              <w:bottom w:w="100" w:type="dxa"/>
              <w:left w:w="120" w:type="dxa"/>
              <w:right w:w="120" w:type="dxa"/>
            </w:tcMar>
          </w:tcPr>
          <w:p>
            <w:pPr>
              <w:jc w:val="left"/>
            </w:pPr>
            <w:r>
              <w:rPr>
                <w:rFonts w:ascii="Arial" w:hAnsi="Arial"/>
                <w:color w:val="222222"/>
                <w:sz w:val="19"/>
              </w:rPr>
              <w:t>Seguridad (`models/usuario.py`)</w:t>
            </w:r>
          </w:p>
        </w:tc>
        <w:tc>
          <w:tcPr>
            <w:tcW w:type="dxa" w:w="4752"/>
            <w:shd w:val="clear" w:color="auto" w:fill="FFFFFF"/>
            <w:tcMar>
              <w:top w:w="100" w:type="dxa"/>
              <w:bottom w:w="100" w:type="dxa"/>
              <w:left w:w="120" w:type="dxa"/>
              <w:right w:w="120" w:type="dxa"/>
            </w:tcMar>
          </w:tcPr>
          <w:p>
            <w:pPr>
              <w:jc w:val="left"/>
            </w:pPr>
            <w:r>
              <w:rPr>
                <w:rFonts w:ascii="Arial" w:hAnsi="Arial"/>
                <w:color w:val="222222"/>
                <w:sz w:val="19"/>
              </w:rPr>
              <w:t>Correo único, contraseñas con hash SHA-256 e insularidad de reservas por cliente.</w:t>
            </w:r>
          </w:p>
        </w:tc>
      </w:tr>
      <w:tr>
        <w:tc>
          <w:tcPr>
            <w:tcW w:type="dxa" w:w="1584"/>
            <w:shd w:val="clear" w:color="auto" w:fill="F4F6F8"/>
            <w:tcMar>
              <w:top w:w="100" w:type="dxa"/>
              <w:bottom w:w="100" w:type="dxa"/>
              <w:left w:w="120" w:type="dxa"/>
              <w:right w:w="120" w:type="dxa"/>
            </w:tcMar>
          </w:tcPr>
          <w:p>
            <w:pPr>
              <w:jc w:val="left"/>
            </w:pPr>
            <w:r>
              <w:rPr>
                <w:rFonts w:ascii="Arial" w:hAnsi="Arial"/>
                <w:color w:val="222222"/>
                <w:sz w:val="19"/>
              </w:rPr>
              <w:t>R12 - R16</w:t>
            </w:r>
          </w:p>
        </w:tc>
        <w:tc>
          <w:tcPr>
            <w:tcW w:type="dxa" w:w="3024"/>
            <w:shd w:val="clear" w:color="auto" w:fill="F4F6F8"/>
            <w:tcMar>
              <w:top w:w="100" w:type="dxa"/>
              <w:bottom w:w="100" w:type="dxa"/>
              <w:left w:w="120" w:type="dxa"/>
              <w:right w:w="120" w:type="dxa"/>
            </w:tcMar>
          </w:tcPr>
          <w:p>
            <w:pPr>
              <w:jc w:val="left"/>
            </w:pPr>
            <w:r>
              <w:rPr>
                <w:rFonts w:ascii="Arial" w:hAnsi="Arial"/>
                <w:color w:val="222222"/>
                <w:sz w:val="19"/>
              </w:rPr>
              <w:t>Reservas (`models/reserva.py`)</w:t>
            </w:r>
          </w:p>
        </w:tc>
        <w:tc>
          <w:tcPr>
            <w:tcW w:type="dxa" w:w="4752"/>
            <w:shd w:val="clear" w:color="auto" w:fill="F4F6F8"/>
            <w:tcMar>
              <w:top w:w="100" w:type="dxa"/>
              <w:bottom w:w="100" w:type="dxa"/>
              <w:left w:w="120" w:type="dxa"/>
              <w:right w:w="120" w:type="dxa"/>
            </w:tcMar>
          </w:tcPr>
          <w:p>
            <w:pPr>
              <w:jc w:val="left"/>
            </w:pPr>
            <w:r>
              <w:rPr>
                <w:rFonts w:ascii="Arial" w:hAnsi="Arial"/>
                <w:color w:val="222222"/>
                <w:sz w:val="19"/>
              </w:rPr>
              <w:t>Congelamiento del total cobrado, bloqueo de fechas vencidas y control anti-overbooking.</w:t>
            </w:r>
          </w:p>
        </w:tc>
      </w:tr>
      <w:tr>
        <w:tc>
          <w:tcPr>
            <w:tcW w:type="dxa" w:w="1584"/>
            <w:shd w:val="clear" w:color="auto" w:fill="FFFFFF"/>
            <w:tcMar>
              <w:top w:w="100" w:type="dxa"/>
              <w:bottom w:w="100" w:type="dxa"/>
              <w:left w:w="120" w:type="dxa"/>
              <w:right w:w="120" w:type="dxa"/>
            </w:tcMar>
          </w:tcPr>
          <w:p>
            <w:pPr>
              <w:jc w:val="left"/>
            </w:pPr>
            <w:r>
              <w:rPr>
                <w:rFonts w:ascii="Arial" w:hAnsi="Arial"/>
                <w:color w:val="222222"/>
                <w:sz w:val="19"/>
              </w:rPr>
              <w:t>R17</w:t>
            </w:r>
          </w:p>
        </w:tc>
        <w:tc>
          <w:tcPr>
            <w:tcW w:type="dxa" w:w="3024"/>
            <w:shd w:val="clear" w:color="auto" w:fill="FFFFFF"/>
            <w:tcMar>
              <w:top w:w="100" w:type="dxa"/>
              <w:bottom w:w="100" w:type="dxa"/>
              <w:left w:w="120" w:type="dxa"/>
              <w:right w:w="120" w:type="dxa"/>
            </w:tcMar>
          </w:tcPr>
          <w:p>
            <w:pPr>
              <w:jc w:val="left"/>
            </w:pPr>
            <w:r>
              <w:rPr>
                <w:rFonts w:ascii="Arial" w:hAnsi="Arial"/>
                <w:color w:val="222222"/>
                <w:sz w:val="19"/>
              </w:rPr>
              <w:t>Privacidad (`utils/seguridad.py`)</w:t>
            </w:r>
          </w:p>
        </w:tc>
        <w:tc>
          <w:tcPr>
            <w:tcW w:type="dxa" w:w="4752"/>
            <w:shd w:val="clear" w:color="auto" w:fill="FFFFFF"/>
            <w:tcMar>
              <w:top w:w="100" w:type="dxa"/>
              <w:bottom w:w="100" w:type="dxa"/>
              <w:left w:w="120" w:type="dxa"/>
              <w:right w:w="120" w:type="dxa"/>
            </w:tcMar>
          </w:tcPr>
          <w:p>
            <w:pPr>
              <w:jc w:val="left"/>
            </w:pPr>
            <w:r>
              <w:rPr>
                <w:rFonts w:ascii="Arial" w:hAnsi="Arial"/>
                <w:color w:val="222222"/>
                <w:sz w:val="19"/>
              </w:rPr>
              <w:t>Enmascaramiento de datos personales en RUT (`15.***.-K`) y teléfono (`+569****4321`).</w:t>
            </w:r>
          </w:p>
        </w:tc>
      </w:tr>
    </w:tbl>
    <w:p>
      <w:pPr>
        <w:spacing w:after="240"/>
      </w:pPr>
    </w:p>
    <w:p>
      <w:pPr>
        <w:keepNext/>
        <w:spacing w:before="360" w:after="160"/>
      </w:pPr>
      <w:r>
        <w:rPr>
          <w:rFonts w:ascii="Arial" w:hAnsi="Arial"/>
          <w:b/>
          <w:color w:val="1B365D"/>
          <w:sz w:val="32"/>
        </w:rPr>
        <w:t>3. Guión Verbal Estructurado para la Exposición Oral</w:t>
      </w:r>
    </w:p>
    <w:p>
      <w:pPr>
        <w:spacing w:before="0" w:after="120" w:line="276" w:lineRule="auto"/>
      </w:pPr>
      <w:r>
        <w:rPr>
          <w:rFonts w:ascii="Arial" w:hAnsi="Arial"/>
          <w:color w:val="222222"/>
          <w:sz w:val="22"/>
        </w:rPr>
        <w:t>A continuación se detalla la narrativa exacta recomendada para la presentación ante la comisión evaluadora. El tono debe mantenerse profesional, directo, natural y fundamentado en decisiones de arquitectura de software.</w:t>
      </w:r>
    </w:p>
    <w:p>
      <w:pPr>
        <w:keepNext/>
        <w:spacing w:before="280" w:after="120"/>
      </w:pPr>
      <w:r>
        <w:rPr>
          <w:rFonts w:ascii="Arial" w:hAnsi="Arial"/>
          <w:b/>
          <w:color w:val="2E5B88"/>
          <w:sz w:val="26"/>
        </w:rPr>
        <w:t>Bloque 1: Apertura y Diagnóstico Operativo (Tiempo estimado: 2 min)</w:t>
      </w:r>
    </w:p>
    <w:tbl>
      <w:tblPr>
        <w:tblW w:type="auto" w:w="0"/>
        <w:jc w:val="center"/>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B365D"/>
              <w:top w:val="none"/>
              <w:bottom w:val="none"/>
              <w:right w:val="none"/>
            </w:tcBorders>
          </w:tcPr>
          <w:p>
            <w:pPr>
              <w:spacing w:before="40" w:after="40" w:line="276" w:lineRule="auto"/>
            </w:pPr>
            <w:r>
              <w:rPr>
                <w:rFonts w:ascii="Arial" w:hAnsi="Arial"/>
                <w:b/>
                <w:color w:val="1B365D"/>
                <w:sz w:val="22"/>
              </w:rPr>
              <w:t>Guión Hablado — Discurso de Apertura</w:t>
              <w:br/>
            </w:r>
            <w:r>
              <w:rPr>
                <w:rFonts w:ascii="Arial" w:hAnsi="Arial"/>
                <w:i/>
                <w:color w:val="333333"/>
                <w:sz w:val="21"/>
              </w:rPr>
              <w:t>"Buenas tardes, profesores y miembros de la comisión.</w:t>
              <w:br/>
              <w:br/>
              <w:t>Para comprender el diseño de este sistema, es indispensable analizar la realidad operativa de la agencia Viajes Aventura en Valparaíso. La empresa operaba mediante planillas de cálculo compartidas y registros manuscritos.</w:t>
              <w:br/>
              <w:br/>
              <w:t>Al auditar el historial de 214 reservas, detectamos fallas críticas: 19 reservas duplicadas, 6 casos de sobreventa por falta de control de cupos, 3 ventas realizadas sobre fechas ya expiradas y 4 inconsistencias de precios cobrados por modificaciones posteriores en los costos base.</w:t>
              <w:br/>
              <w:br/>
              <w:t>Nuestro objetivo fue desarrollar un software robusto en Python bajo Programación Orientada a Objetos que resuelva de raíz estas fallas mediante el cumplimiento automatizado de 17 reglas de negocio (R1 a R17)."</w:t>
            </w:r>
          </w:p>
        </w:tc>
      </w:tr>
    </w:tbl>
    <w:p>
      <w:pPr>
        <w:spacing w:after="120"/>
      </w:pPr>
    </w:p>
    <w:p>
      <w:pPr>
        <w:keepNext/>
        <w:spacing w:before="280" w:after="120"/>
      </w:pPr>
      <w:r>
        <w:rPr>
          <w:rFonts w:ascii="Arial" w:hAnsi="Arial"/>
          <w:b/>
          <w:color w:val="2E5B88"/>
          <w:sz w:val="26"/>
        </w:rPr>
        <w:t>Bloque 2: Explicación de la Arquitectura y Módulos Clave (Tiempo estimado: 4 min)</w:t>
      </w:r>
    </w:p>
    <w:p>
      <w:pPr>
        <w:spacing w:before="0" w:after="120" w:line="276" w:lineRule="auto"/>
      </w:pPr>
      <w:r>
        <w:rPr>
          <w:rFonts w:ascii="Arial" w:hAnsi="Arial"/>
          <w:color w:val="222222"/>
          <w:sz w:val="22"/>
        </w:rPr>
        <w:t>En este bloque debe explicarse la división modular del proyecto y cómo cada clase responde a un problema de negocio específico:</w:t>
      </w:r>
    </w:p>
    <w:p>
      <w:pPr>
        <w:pStyle w:val="ListBullet"/>
        <w:spacing w:before="0" w:after="80" w:line="276" w:lineRule="auto"/>
      </w:pPr>
      <w:r>
        <w:rPr>
          <w:rFonts w:ascii="Arial" w:hAnsi="Arial"/>
          <w:b/>
          <w:color w:val="222222"/>
          <w:sz w:val="22"/>
        </w:rPr>
        <w:t xml:space="preserve">Módulo de Seguridad y Privacidad: </w:t>
      </w:r>
      <w:r>
        <w:rPr>
          <w:rFonts w:ascii="Arial" w:hAnsi="Arial"/>
          <w:color w:val="222222"/>
          <w:sz w:val="22"/>
        </w:rPr>
        <w:t>Las contraseñas no se almacenan en texto plano en ningún punto; la clase base Usuario aplica un algoritmo SHA-256 mediante hashlib (R10). La subclase Cliente hereda la seguridad y añade métodos para enmascarar el RUT (15.***.-K) y el teléfono (+569****4321), garantizando privacidad por diseño (R17).</w:t>
      </w:r>
    </w:p>
    <w:p>
      <w:pPr>
        <w:pStyle w:val="ListBullet"/>
        <w:spacing w:before="0" w:after="80" w:line="276" w:lineRule="auto"/>
      </w:pPr>
      <w:r>
        <w:rPr>
          <w:rFonts w:ascii="Arial" w:hAnsi="Arial"/>
          <w:b/>
          <w:color w:val="222222"/>
          <w:sz w:val="22"/>
        </w:rPr>
        <w:t xml:space="preserve">Módulo de Catálogo y Paquetes: </w:t>
      </w:r>
      <w:r>
        <w:rPr>
          <w:rFonts w:ascii="Arial" w:hAnsi="Arial"/>
          <w:color w:val="222222"/>
          <w:sz w:val="22"/>
        </w:rPr>
        <w:t>La clase Paquete combina entre 2 y 5 destinos. Al publicarse, calcula el costo total más el margen comercial (20%) y congela la tarifa final (R7). Si un proveedor sube sus precios más adelante en el catálogo, el valor del paquete ya publicado permanece inalterado.</w:t>
      </w:r>
    </w:p>
    <w:p>
      <w:pPr>
        <w:pStyle w:val="ListBullet"/>
        <w:spacing w:before="0" w:after="80" w:line="276" w:lineRule="auto"/>
      </w:pPr>
      <w:r>
        <w:rPr>
          <w:rFonts w:ascii="Arial" w:hAnsi="Arial"/>
          <w:b/>
          <w:color w:val="222222"/>
          <w:sz w:val="22"/>
        </w:rPr>
        <w:t xml:space="preserve">Módulo de Control de Reservas y Anti-Overbooking: </w:t>
      </w:r>
      <w:r>
        <w:rPr>
          <w:rFonts w:ascii="Arial" w:hAnsi="Arial"/>
          <w:color w:val="222222"/>
          <w:sz w:val="22"/>
        </w:rPr>
        <w:t>El controlador SistemaGestionAgencia evalúa en tiempo real si la cantidad de cupos solicitados es menor o igual al saldo disponible (R14) y que la fecha de salida sea igual o posterior al día actual (R15). Si alguna condición falla, la transacción se rechaza inmediatamente lanzando una excepción.</w:t>
      </w:r>
    </w:p>
    <w:p>
      <w:pPr>
        <w:keepNext/>
        <w:spacing w:before="280" w:after="120"/>
      </w:pPr>
      <w:r>
        <w:rPr>
          <w:rFonts w:ascii="Arial" w:hAnsi="Arial"/>
          <w:b/>
          <w:color w:val="2E5B88"/>
          <w:sz w:val="26"/>
        </w:rPr>
        <w:t>Bloque 3: Cierre y Demostración Práctica (Tiempo estimado: 1 min)</w:t>
      </w:r>
    </w:p>
    <w:tbl>
      <w:tblPr>
        <w:tblW w:type="auto" w:w="0"/>
        <w:jc w:val="center"/>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B365D"/>
              <w:top w:val="none"/>
              <w:bottom w:val="none"/>
              <w:right w:val="none"/>
            </w:tcBorders>
          </w:tcPr>
          <w:p>
            <w:pPr>
              <w:spacing w:before="40" w:after="40" w:line="276" w:lineRule="auto"/>
            </w:pPr>
            <w:r>
              <w:rPr>
                <w:rFonts w:ascii="Arial" w:hAnsi="Arial"/>
                <w:b/>
                <w:color w:val="1B365D"/>
                <w:sz w:val="22"/>
              </w:rPr>
              <w:t>Guión Hablado — Cierre de Disertación</w:t>
              <w:br/>
            </w:r>
            <w:r>
              <w:rPr>
                <w:rFonts w:ascii="Arial" w:hAnsi="Arial"/>
                <w:i/>
                <w:color w:val="333333"/>
                <w:sz w:val="21"/>
              </w:rPr>
              <w:t>"Para concluir, la arquitectura del controlador garantiza que cada usuario autenticado solo pueda visualizar sus propias transacciones, asegurando aislamiento total de datos (R11).</w:t>
              <w:br/>
              <w:br/>
              <w:t>Pasaremos ahora a la ejecución en vivo del archivo main.py en Visual Studio Code para verificar cómo el sistema procesa el registro, bloquea sobreventas y mantiene la congelación de precios ante fluctuaciones del catálogo."</w:t>
            </w:r>
          </w:p>
        </w:tc>
      </w:tr>
    </w:tbl>
    <w:p>
      <w:pPr>
        <w:spacing w:after="120"/>
      </w:pPr>
    </w:p>
    <w:p>
      <w:pPr>
        <w:keepNext/>
        <w:spacing w:before="360" w:after="160"/>
      </w:pPr>
      <w:r>
        <w:rPr>
          <w:rFonts w:ascii="Arial" w:hAnsi="Arial"/>
          <w:b/>
          <w:color w:val="1B365D"/>
          <w:sz w:val="32"/>
        </w:rPr>
        <w:t>4. Banco Estratégico de Preguntas y Respuestas para la Defensa</w:t>
      </w:r>
    </w:p>
    <w:p>
      <w:pPr>
        <w:spacing w:before="0" w:after="120" w:line="276" w:lineRule="auto"/>
      </w:pPr>
      <w:r>
        <w:rPr>
          <w:rFonts w:ascii="Arial" w:hAnsi="Arial"/>
          <w:color w:val="222222"/>
          <w:sz w:val="22"/>
        </w:rPr>
        <w:t>Preparación ante posibles cuestionamientos de la comisión examinadora:</w:t>
      </w:r>
    </w:p>
    <w:p>
      <w:pPr>
        <w:keepNext/>
        <w:spacing w:before="280" w:after="120"/>
      </w:pPr>
      <w:r>
        <w:rPr>
          <w:rFonts w:ascii="Arial" w:hAnsi="Arial"/>
          <w:b/>
          <w:color w:val="2E5B88"/>
          <w:sz w:val="26"/>
        </w:rPr>
        <w:t>P1: ¿Por qué la validación de cupos (R14) no está dentro de la clase Reserva?</w:t>
      </w:r>
    </w:p>
    <w:p>
      <w:pPr>
        <w:spacing w:before="0" w:after="120" w:line="276" w:lineRule="auto"/>
      </w:pPr>
      <w:r>
        <w:rPr>
          <w:rFonts w:ascii="Arial" w:hAnsi="Arial"/>
          <w:b/>
          <w:color w:val="222222"/>
          <w:sz w:val="22"/>
        </w:rPr>
        <w:t xml:space="preserve">Estrategia de Respuesta: </w:t>
      </w:r>
      <w:r>
        <w:rPr>
          <w:rFonts w:ascii="Arial" w:hAnsi="Arial"/>
          <w:color w:val="222222"/>
          <w:sz w:val="22"/>
        </w:rPr>
        <w:t>Respuesta clave: La clase Reserva solo administra los datos de una compra individual (cliente, paquete, número de pasajeros). El saldo de cupos disponibles de un paquete depende del acumulado global de todas las reservas emitidas en el sistema. Por ello, la validación reside en el controlador SistemaGestionAgencia, que posee la visión global del catálogo y las transacciones.</w:t>
      </w:r>
    </w:p>
    <w:p>
      <w:pPr>
        <w:keepNext/>
        <w:spacing w:before="280" w:after="120"/>
      </w:pPr>
      <w:r>
        <w:rPr>
          <w:rFonts w:ascii="Arial" w:hAnsi="Arial"/>
          <w:b/>
          <w:color w:val="2E5B88"/>
          <w:sz w:val="26"/>
        </w:rPr>
        <w:t>P2: ¿Cómo asegura el sistema que las contraseñas no puedan ser decodificadas?</w:t>
      </w:r>
    </w:p>
    <w:p>
      <w:pPr>
        <w:spacing w:before="0" w:after="120" w:line="276" w:lineRule="auto"/>
      </w:pPr>
      <w:r>
        <w:rPr>
          <w:rFonts w:ascii="Arial" w:hAnsi="Arial"/>
          <w:b/>
          <w:color w:val="222222"/>
          <w:sz w:val="22"/>
        </w:rPr>
        <w:t xml:space="preserve">Estrategia de Respuesta: </w:t>
      </w:r>
      <w:r>
        <w:rPr>
          <w:rFonts w:ascii="Arial" w:hAnsi="Arial"/>
          <w:color w:val="222222"/>
          <w:sz w:val="22"/>
        </w:rPr>
        <w:t>Respuesta clave: SHA-256 es una función criptográfica de un solo sentido (hash unidireccional). No es un cifrado reversible. Para autenticar al usuario, se calcula el hash de la clave ingresada en el login y se compara directamente contra el hash almacenado en la propiedad privada _clave_hash. La clave en texto plano nunca se guarda ni se persiste.</w:t>
      </w:r>
    </w:p>
    <w:p>
      <w:pPr>
        <w:keepNext/>
        <w:spacing w:before="280" w:after="120"/>
      </w:pPr>
      <w:r>
        <w:rPr>
          <w:rFonts w:ascii="Arial" w:hAnsi="Arial"/>
          <w:b/>
          <w:color w:val="2E5B88"/>
          <w:sz w:val="26"/>
        </w:rPr>
        <w:t>P3: ¿Qué ocurre si se intenta eliminar un destino que forma parte de un paquete antiguo?</w:t>
      </w:r>
    </w:p>
    <w:p>
      <w:pPr>
        <w:spacing w:before="0" w:after="120" w:line="276" w:lineRule="auto"/>
      </w:pPr>
      <w:r>
        <w:rPr>
          <w:rFonts w:ascii="Arial" w:hAnsi="Arial"/>
          <w:b/>
          <w:color w:val="222222"/>
          <w:sz w:val="22"/>
        </w:rPr>
        <w:t xml:space="preserve">Estrategia de Respuesta: </w:t>
      </w:r>
      <w:r>
        <w:rPr>
          <w:rFonts w:ascii="Arial" w:hAnsi="Arial"/>
          <w:color w:val="222222"/>
          <w:sz w:val="22"/>
        </w:rPr>
        <w:t>Respuesta clave: Se aplica la regla R8. El controlador evalúa si el destino está referenciado en la lista de destinos de algún paquete existente. De ser así, se ejecuta un borrado lógico estableciendo la propiedad disponible = False. Esto impide que el destino sea usado en futuros paquetes, pero mantiene intacta la integridad histórica de los paquetes y reservas previas.</w:t>
      </w:r>
    </w:p>
    <w:p>
      <w:pPr>
        <w:keepNext/>
        <w:spacing w:before="280" w:after="120"/>
      </w:pPr>
      <w:r>
        <w:rPr>
          <w:rFonts w:ascii="Arial" w:hAnsi="Arial"/>
          <w:b/>
          <w:color w:val="2E5B88"/>
          <w:sz w:val="26"/>
        </w:rPr>
        <w:t>P4: ¿Por qué se utilizó herencia entre Usuario y Cliente?</w:t>
      </w:r>
    </w:p>
    <w:p>
      <w:pPr>
        <w:spacing w:before="0" w:after="120" w:line="276" w:lineRule="auto"/>
      </w:pPr>
      <w:r>
        <w:rPr>
          <w:rFonts w:ascii="Arial" w:hAnsi="Arial"/>
          <w:b/>
          <w:color w:val="222222"/>
          <w:sz w:val="22"/>
        </w:rPr>
        <w:t xml:space="preserve">Estrategia de Respuesta: </w:t>
      </w:r>
      <w:r>
        <w:rPr>
          <w:rFonts w:ascii="Arial" w:hAnsi="Arial"/>
          <w:color w:val="222222"/>
          <w:sz w:val="22"/>
        </w:rPr>
        <w:t>Respuesta clave: Para respetar el principio de reutilización de código y separación de responsabilidades. La clase Usuario encapsula la lógica de credenciales, ID y hashing SHA-256. La clase Cliente extiende esta funcionalidad agregando los atributos específicos del perfil comercial (RUT y teléfono) e implementando las funciones de enmascaramiento de privacidad (R17).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