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Social, Cultural and Legal Challenges</w:t>
      </w:r>
    </w:p>
    <w:p>
      <w:pPr>
        <w:pStyle w:val="Subtitle"/>
      </w:pPr>
      <w:r>
        <w:t xml:space="preserve">Syllabus of the monographic lecture · academic year 2026/2027 · version 2</w:t>
      </w:r>
    </w:p>
    <w:p>
      <w:pPr>
        <w:pStyle w:val="Author"/>
      </w:pPr>
      <w:r>
        <w:t xml:space="preserve">Dr Karol Kasprowicz · Department of IT Law and Legal Professions · Faculty of Law and Administration, Maria Curie-Skłodowska University (UMCS), Lublin</w:t>
      </w:r>
    </w:p>
    <w:p>
      <w:pPr>
        <w:pStyle w:val="Date"/>
      </w:pPr>
      <w:r>
        <w:t xml:space="preserve">As of 20 October 2026</w:t>
      </w:r>
    </w:p>
    <w:bookmarkStart w:id="10" w:name="general-information"/>
    <w:p>
      <w:pPr>
        <w:pStyle w:val="Nagwek1"/>
      </w:pPr>
      <w:r>
        <w:t xml:space="preserve">General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Title</w:t>
            </w:r>
          </w:p>
        </w:tc>
        <w:tc>
          <w:tcPr/>
          <w:p>
            <w:pPr>
              <w:pStyle w:val="Compact"/>
            </w:pPr>
            <w:r>
              <w:t xml:space="preserve">Artificial Intelligence: Social, Cultural and Legal Challenges</w:t>
            </w:r>
          </w:p>
        </w:tc>
      </w:tr>
      <w:tr>
        <w:tc>
          <w:tcPr/>
          <w:p>
            <w:pPr>
              <w:pStyle w:val="Compact"/>
            </w:pPr>
            <w:r>
              <w:rPr>
                <w:b/>
                <w:bCs/>
              </w:rPr>
              <w:t xml:space="preserve">Type of class</w:t>
            </w:r>
          </w:p>
        </w:tc>
        <w:tc>
          <w:tcPr/>
          <w:p>
            <w:pPr>
              <w:pStyle w:val="Compact"/>
            </w:pPr>
            <w:r>
              <w:t xml:space="preserve">monographic lecture</w:t>
            </w:r>
          </w:p>
        </w:tc>
      </w:tr>
      <w:tr>
        <w:tc>
          <w:tcPr/>
          <w:p>
            <w:pPr>
              <w:pStyle w:val="Compact"/>
            </w:pPr>
            <w:r>
              <w:rPr>
                <w:b/>
                <w:bCs/>
              </w:rPr>
              <w:t xml:space="preserve">Programme / level</w:t>
            </w:r>
          </w:p>
        </w:tc>
        <w:tc>
          <w:tcPr/>
          <w:p>
            <w:pPr>
              <w:pStyle w:val="Compact"/>
            </w:pPr>
            <w:r>
              <w:t xml:space="preserve">Law, long-cycle Master’s programme, general academic profile</w:t>
            </w:r>
          </w:p>
        </w:tc>
      </w:tr>
      <w:tr>
        <w:tc>
          <w:tcPr/>
          <w:p>
            <w:pPr>
              <w:pStyle w:val="Compact"/>
            </w:pPr>
            <w:r>
              <w:rPr>
                <w:b/>
                <w:bCs/>
              </w:rPr>
              <w:t xml:space="preserve">Lecturer</w:t>
            </w:r>
          </w:p>
        </w:tc>
        <w:tc>
          <w:tcPr/>
          <w:p>
            <w:pPr>
              <w:pStyle w:val="Compact"/>
            </w:pPr>
            <w:r>
              <w:t xml:space="preserve">Dr Karol Kasprowicz, karol.kasprowicz@mail.umcs.pl</w:t>
            </w:r>
          </w:p>
        </w:tc>
      </w:tr>
      <w:tr>
        <w:tc>
          <w:tcPr/>
          <w:p>
            <w:pPr>
              <w:pStyle w:val="Compact"/>
            </w:pPr>
            <w:r>
              <w:rPr>
                <w:b/>
                <w:bCs/>
              </w:rPr>
              <w:t xml:space="preserve">Time and place</w:t>
            </w:r>
          </w:p>
        </w:tc>
        <w:tc>
          <w:tcPr/>
          <w:p>
            <w:pPr>
              <w:pStyle w:val="Compact"/>
            </w:pPr>
            <w:r>
              <w:t xml:space="preserve">Fridays, Aula WPiA UMCS; 8 meetings, 15 h in total: an organisational meeting on 9.10.2026 (45 min), two of 1.5 h (23.10.2026 and 15.01.2027, 12:45–14:15) and five of 2 h 15 min (6.11, 20.11, 27.11, 4.12.2026 and 22.01.2027, 12:45–15:00)</w:t>
            </w:r>
          </w:p>
        </w:tc>
      </w:tr>
      <w:tr>
        <w:tc>
          <w:tcPr/>
          <w:p>
            <w:pPr>
              <w:pStyle w:val="Compact"/>
            </w:pPr>
            <w:r>
              <w:rPr>
                <w:b/>
                <w:bCs/>
              </w:rPr>
              <w:t xml:space="preserve">Language of instruction</w:t>
            </w:r>
          </w:p>
        </w:tc>
        <w:tc>
          <w:tcPr/>
          <w:p>
            <w:pPr>
              <w:pStyle w:val="Compact"/>
            </w:pPr>
            <w:r>
              <w:t xml:space="preserve">Polish</w:t>
            </w:r>
          </w:p>
        </w:tc>
      </w:tr>
      <w:tr>
        <w:tc>
          <w:tcPr/>
          <w:p>
            <w:pPr>
              <w:pStyle w:val="Compact"/>
            </w:pPr>
            <w:r>
              <w:rPr>
                <w:b/>
                <w:bCs/>
              </w:rPr>
              <w:t xml:space="preserve">Website</w:t>
            </w:r>
          </w:p>
        </w:tc>
        <w:tc>
          <w:tcPr/>
          <w:p>
            <w:pPr>
              <w:pStyle w:val="Compact"/>
            </w:pPr>
            <w:r>
              <w:t xml:space="preserve">https://ingardenpl.github.io/ai-wyzwania/ (link also at https://kkasprowicz.com)</w:t>
            </w:r>
          </w:p>
        </w:tc>
      </w:tr>
      <w:tr>
        <w:tc>
          <w:tcPr/>
          <w:p>
            <w:pPr>
              <w:pStyle w:val="Compact"/>
            </w:pPr>
            <w:r>
              <w:rPr>
                <w:b/>
                <w:bCs/>
              </w:rPr>
              <w:t xml:space="preserve">Prerequisites</w:t>
            </w:r>
          </w:p>
        </w:tc>
        <w:tc>
          <w:tcPr/>
          <w:p>
            <w:pPr>
              <w:pStyle w:val="Compact"/>
            </w:pPr>
            <w:r>
              <w:t xml:space="preserve">none</w:t>
            </w:r>
          </w:p>
        </w:tc>
      </w:tr>
      <w:tr>
        <w:tc>
          <w:tcPr/>
          <w:p>
            <w:pPr>
              <w:pStyle w:val="Compact"/>
            </w:pPr>
            <w:r>
              <w:rPr>
                <w:b/>
                <w:bCs/>
              </w:rPr>
              <w:t xml:space="preserve">Verification of learning outcomes</w:t>
            </w:r>
          </w:p>
        </w:tc>
        <w:tc>
          <w:tcPr/>
          <w:p>
            <w:pPr>
              <w:pStyle w:val="Compact"/>
            </w:pPr>
            <w:r>
              <w:t xml:space="preserve">graded credit (K_W03, K_W07, K_W10, K_U03, K_U07, K_U08); participation (K_K01, K_K04, K_K05)</w:t>
            </w:r>
          </w:p>
        </w:tc>
      </w:tr>
      <w:tr>
        <w:tc>
          <w:tcPr/>
          <w:p>
            <w:pPr>
              <w:pStyle w:val="Compact"/>
            </w:pPr>
            <w:r>
              <w:rPr>
                <w:b/>
                <w:bCs/>
              </w:rPr>
              <w:t xml:space="preserve">Work placement</w:t>
            </w:r>
          </w:p>
        </w:tc>
        <w:tc>
          <w:tcPr/>
          <w:p>
            <w:pPr>
              <w:pStyle w:val="Compact"/>
            </w:pPr>
            <w:r>
              <w:t xml:space="preserve">not applicable</w:t>
            </w:r>
          </w:p>
        </w:tc>
      </w:tr>
    </w:tbl>
    <w:bookmarkStart w:id="9" w:name="ects-credits-and-student-workload"/>
    <w:p>
      <w:pPr>
        <w:pStyle w:val="Nagwek2"/>
      </w:pPr>
      <w:r>
        <w:t xml:space="preserve">ECTS credits and student workload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 of activity</w:t>
            </w:r>
          </w:p>
        </w:tc>
        <w:tc>
          <w:tcPr/>
          <w:p>
            <w:pPr>
              <w:pStyle w:val="Compact"/>
            </w:pPr>
            <w:r>
              <w:t xml:space="preserve">Hours</w:t>
            </w:r>
          </w:p>
        </w:tc>
        <w:tc>
          <w:tcPr/>
          <w:p>
            <w:pPr>
              <w:pStyle w:val="Compact"/>
            </w:pPr>
            <w:r>
              <w:t xml:space="preserve">ECTS</w:t>
            </w:r>
          </w:p>
        </w:tc>
      </w:tr>
      <w:tr>
        <w:tc>
          <w:tcPr/>
          <w:p>
            <w:pPr>
              <w:pStyle w:val="Compact"/>
            </w:pPr>
            <w:r>
              <w:t xml:space="preserve">Contact hours: lecture</w:t>
            </w:r>
          </w:p>
        </w:tc>
        <w:tc>
          <w:tcPr/>
          <w:p>
            <w:pPr>
              <w:pStyle w:val="Compact"/>
            </w:pPr>
            <w:r>
              <w:t xml:space="preserve">15</w:t>
            </w:r>
          </w:p>
        </w:tc>
        <w:tc>
          <w:tcPr/>
          <w:p>
            <w:pPr>
              <w:pStyle w:val="Compact"/>
            </w:pPr>
            <w:r>
              <w:t xml:space="preserve">0.5</w:t>
            </w:r>
          </w:p>
        </w:tc>
      </w:tr>
      <w:tr>
        <w:tc>
          <w:tcPr/>
          <w:p>
            <w:pPr>
              <w:pStyle w:val="Compact"/>
            </w:pPr>
            <w:r>
              <w:t xml:space="preserve">Independent work: preparation for classes (reading, tasks with generative models, materials on the course website)</w:t>
            </w:r>
          </w:p>
        </w:tc>
        <w:tc>
          <w:tcPr/>
          <w:p>
            <w:pPr>
              <w:pStyle w:val="Compact"/>
            </w:pPr>
            <w:r>
              <w:t xml:space="preserve">15</w:t>
            </w:r>
          </w:p>
        </w:tc>
        <w:tc>
          <w:tcPr/>
          <w:p>
            <w:pPr>
              <w:pStyle w:val="Compact"/>
            </w:pPr>
          </w:p>
        </w:tc>
      </w:tr>
      <w:tr>
        <w:tc>
          <w:tcPr/>
          <w:p>
            <w:pPr>
              <w:pStyle w:val="Compact"/>
            </w:pPr>
            <w:r>
              <w:t xml:space="preserve">Independent work: preparation for assessment (test, project or own proposal)</w:t>
            </w:r>
          </w:p>
        </w:tc>
        <w:tc>
          <w:tcPr/>
          <w:p>
            <w:pPr>
              <w:pStyle w:val="Compact"/>
            </w:pPr>
            <w:r>
              <w:t xml:space="preserve">20</w:t>
            </w:r>
          </w:p>
        </w:tc>
        <w:tc>
          <w:tcPr/>
          <w:p>
            <w:pPr>
              <w:pStyle w:val="Compact"/>
            </w:pPr>
          </w:p>
        </w:tc>
      </w:tr>
      <w:tr>
        <w:tc>
          <w:tcPr/>
          <w:p>
            <w:pPr>
              <w:pStyle w:val="Compact"/>
            </w:pPr>
            <w:r>
              <w:rPr>
                <w:b/>
                <w:bCs/>
              </w:rPr>
              <w:t xml:space="preserve">Total independent work</w:t>
            </w:r>
          </w:p>
        </w:tc>
        <w:tc>
          <w:tcPr/>
          <w:p>
            <w:pPr>
              <w:pStyle w:val="Compact"/>
            </w:pPr>
            <w:r>
              <w:rPr>
                <w:b/>
                <w:bCs/>
              </w:rPr>
              <w:t xml:space="preserve">35</w:t>
            </w:r>
          </w:p>
        </w:tc>
        <w:tc>
          <w:tcPr/>
          <w:p>
            <w:pPr>
              <w:pStyle w:val="Compact"/>
            </w:pPr>
            <w:r>
              <w:rPr>
                <w:b/>
                <w:bCs/>
              </w:rPr>
              <w:t xml:space="preserve">1.5</w:t>
            </w:r>
          </w:p>
        </w:tc>
      </w:tr>
      <w:tr>
        <w:tc>
          <w:tcPr/>
          <w:p>
            <w:pPr>
              <w:pStyle w:val="Compact"/>
            </w:pPr>
            <w:r>
              <w:rPr>
                <w:b/>
                <w:bCs/>
              </w:rPr>
              <w:t xml:space="preserve">Total</w:t>
            </w:r>
          </w:p>
        </w:tc>
        <w:tc>
          <w:tcPr/>
          <w:p>
            <w:pPr>
              <w:pStyle w:val="Compact"/>
            </w:pPr>
            <w:r>
              <w:rPr>
                <w:b/>
                <w:bCs/>
              </w:rPr>
              <w:t xml:space="preserve">50</w:t>
            </w:r>
          </w:p>
        </w:tc>
        <w:tc>
          <w:tcPr/>
          <w:p>
            <w:pPr>
              <w:pStyle w:val="Compact"/>
            </w:pPr>
            <w:r>
              <w:rPr>
                <w:b/>
                <w:bCs/>
              </w:rPr>
              <w:t xml:space="preserve">2</w:t>
            </w:r>
          </w:p>
        </w:tc>
      </w:tr>
    </w:tbl>
    <w:bookmarkEnd w:id="9"/>
    <w:bookmarkEnd w:id="10"/>
    <w:bookmarkStart w:id="11" w:name="course-description"/>
    <w:p>
      <w:pPr>
        <w:pStyle w:val="Nagwek1"/>
      </w:pPr>
      <w:r>
        <w:t xml:space="preserve">Course description</w:t>
      </w:r>
    </w:p>
    <w:p>
      <w:pPr>
        <w:pStyle w:val="FirstParagraph"/>
      </w:pPr>
      <w:r>
        <w:t xml:space="preserve">The aim of the lecture is to prepare future lawyers to critically assess the impact of artificial intelligence (AI) on society, culture and the legal order, and to use AI tools in legal work in an informed way.</w:t>
      </w:r>
    </w:p>
    <w:p>
      <w:pPr>
        <w:pStyle w:val="BodyText"/>
      </w:pPr>
      <w:r>
        <w:t xml:space="preserve">The lecture combines three perspectives. The first is technological and historical: what AI is, how it developed and how contemporary models, including large language models, work. The second concerns social and cultural effects: work and education, ethics and algorithmic bias, cultural differences in approaches to technology, and environmental costs. The third, and the most extensive, is legal: Regulation (EU) 2024/1689 of the European Parliament and of the Council of 13 June 2024 laying down harmonised rules on artificial intelligence (Artificial Intelligence Act, ‘AI Act’) and the Polish</w:t>
      </w:r>
      <w:r>
        <w:t xml:space="preserve"> </w:t>
      </w:r>
      <w:r>
        <w:rPr>
          <w:i/>
          <w:iCs/>
        </w:rPr>
        <w:t xml:space="preserve">ustawa z dnia 3 lipca 2026 r. o systemach sztucznej inteligencji</w:t>
      </w:r>
      <w:r>
        <w:t xml:space="preserve"> </w:t>
      </w:r>
      <w:r>
        <w:t xml:space="preserve">(Act of 3 July 2026 on Artificial Intelligence Systems), Dz.U. 2026, item 1003 (‘Polish AI Systems Act’), personal data protection, copyright, civil and criminal liability, and the use of AI in the administration of justice and the legal professions.</w:t>
      </w:r>
    </w:p>
    <w:p>
      <w:pPr>
        <w:pStyle w:val="BodyText"/>
      </w:pPr>
      <w:r>
        <w:t xml:space="preserve">Case studies and case law are discussed within each thematic block. The lecture draws on the findings of research conducted by a WPiA UMCS team on the attitudes towards AI of lawyers (‘Algorytm w Todze’ [The Algorithm in the Robe]) and of school pupils and students (‘Algorytm w Ławce Szkolnej’ [The Algorithm at the School Desk]). Materials, slides, quizzes and interactive applications are available on the course website.</w:t>
      </w:r>
    </w:p>
    <w:bookmarkEnd w:id="11"/>
    <w:bookmarkStart w:id="16" w:name="learning-outcomes"/>
    <w:p>
      <w:pPr>
        <w:pStyle w:val="Nagwek1"/>
      </w:pPr>
      <w:r>
        <w:t xml:space="preserve">Learning outcomes</w:t>
      </w:r>
    </w:p>
    <w:p>
      <w:pPr>
        <w:pStyle w:val="FirstParagraph"/>
      </w:pPr>
      <w:r>
        <w:t xml:space="preserve">The course learning outcomes are mapped to the programme learning outcomes for Law, long-cycle Master’s programme (Annex No. 11 to Resolution of the UMCS Senate No. XXIV-28.31/19).</w:t>
      </w:r>
    </w:p>
    <w:bookmarkStart w:id="12" w:name="Xc22bcb22f3a7c88436098c2005871cb9c06f25b"/>
    <w:p>
      <w:pPr>
        <w:pStyle w:val="Nagwek2"/>
      </w:pPr>
      <w:r>
        <w:t xml:space="preserve">Knowledge: the graduate knows and understands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Course code</w:t>
            </w:r>
          </w:p>
        </w:tc>
        <w:tc>
          <w:tcPr/>
          <w:p>
            <w:pPr>
              <w:pStyle w:val="Compact"/>
            </w:pPr>
            <w:r>
              <w:t xml:space="preserve">Course learning outcome</w:t>
            </w:r>
          </w:p>
        </w:tc>
        <w:tc>
          <w:tcPr/>
          <w:p>
            <w:pPr>
              <w:pStyle w:val="Compact"/>
            </w:pPr>
            <w:r>
              <w:t xml:space="preserve">Programme learning outcome</w:t>
            </w:r>
          </w:p>
        </w:tc>
        <w:tc>
          <w:tcPr/>
          <w:p>
            <w:pPr>
              <w:pStyle w:val="Compact"/>
            </w:pPr>
            <w:r>
              <w:t xml:space="preserve">PRK (PQF)</w:t>
            </w:r>
          </w:p>
        </w:tc>
      </w:tr>
      <w:tr>
        <w:tc>
          <w:tcPr/>
          <w:p>
            <w:pPr>
              <w:pStyle w:val="Compact"/>
            </w:pPr>
            <w:r>
              <w:t xml:space="preserve">W1</w:t>
            </w:r>
          </w:p>
        </w:tc>
        <w:tc>
          <w:tcPr/>
          <w:p>
            <w:pPr>
              <w:pStyle w:val="Compact"/>
            </w:pPr>
            <w:r>
              <w:t xml:space="preserve">in depth, the EU and national sources of law concerning AI, in particular the AI Act, Regulation (EU) 2016/679 (General Data Protection Regulation, GDPR), Regulation (EU) 2022/2065 (Digital Services Act, DSA) and the Polish AI Systems Act, and the relationships between them</w:t>
            </w:r>
          </w:p>
        </w:tc>
        <w:tc>
          <w:tcPr/>
          <w:p>
            <w:pPr>
              <w:pStyle w:val="Compact"/>
            </w:pPr>
            <w:r>
              <w:t xml:space="preserve">K_W03</w:t>
            </w:r>
          </w:p>
        </w:tc>
        <w:tc>
          <w:tcPr/>
          <w:p>
            <w:pPr>
              <w:pStyle w:val="Compact"/>
            </w:pPr>
            <w:r>
              <w:t xml:space="preserve">P7S_WG</w:t>
            </w:r>
          </w:p>
        </w:tc>
      </w:tr>
      <w:tr>
        <w:tc>
          <w:tcPr/>
          <w:p>
            <w:pPr>
              <w:pStyle w:val="Compact"/>
            </w:pPr>
            <w:r>
              <w:t xml:space="preserve">W2</w:t>
            </w:r>
          </w:p>
        </w:tc>
        <w:tc>
          <w:tcPr/>
          <w:p>
            <w:pPr>
              <w:pStyle w:val="Compact"/>
            </w:pPr>
            <w:r>
              <w:t xml:space="preserve">the dilemmas of contemporary civilisation related to the development of AI, including ethical dilemmas and changes in the principles of liability of members of the legal professions who use AI</w:t>
            </w:r>
          </w:p>
        </w:tc>
        <w:tc>
          <w:tcPr/>
          <w:p>
            <w:pPr>
              <w:pStyle w:val="Compact"/>
            </w:pPr>
            <w:r>
              <w:t xml:space="preserve">K_W07</w:t>
            </w:r>
          </w:p>
        </w:tc>
        <w:tc>
          <w:tcPr/>
          <w:p>
            <w:pPr>
              <w:pStyle w:val="Compact"/>
            </w:pPr>
            <w:r>
              <w:t xml:space="preserve">P7S_WK</w:t>
            </w:r>
          </w:p>
        </w:tc>
      </w:tr>
      <w:tr>
        <w:tc>
          <w:tcPr/>
          <w:p>
            <w:pPr>
              <w:pStyle w:val="Compact"/>
            </w:pPr>
            <w:r>
              <w:t xml:space="preserve">W3</w:t>
            </w:r>
          </w:p>
        </w:tc>
        <w:tc>
          <w:tcPr/>
          <w:p>
            <w:pPr>
              <w:pStyle w:val="Compact"/>
            </w:pPr>
            <w:r>
              <w:t xml:space="preserve">the foundations of how AI systems work, their economic, social and environmental determinants, and the problems of copyright and intellectual property protection related to the training of models and to AI-generated content</w:t>
            </w:r>
          </w:p>
        </w:tc>
        <w:tc>
          <w:tcPr/>
          <w:p>
            <w:pPr>
              <w:pStyle w:val="Compact"/>
            </w:pPr>
            <w:r>
              <w:t xml:space="preserve">K_W10</w:t>
            </w:r>
          </w:p>
        </w:tc>
        <w:tc>
          <w:tcPr/>
          <w:p>
            <w:pPr>
              <w:pStyle w:val="Compact"/>
            </w:pPr>
            <w:r>
              <w:t xml:space="preserve">P7S_WK</w:t>
            </w:r>
          </w:p>
        </w:tc>
      </w:tr>
    </w:tbl>
    <w:bookmarkEnd w:id="12"/>
    <w:bookmarkStart w:id="13" w:name="skills-the-graduate-is-able-to"/>
    <w:p>
      <w:pPr>
        <w:pStyle w:val="Nagwek2"/>
      </w:pPr>
      <w:r>
        <w:t xml:space="preserve">Skills: the graduate is able 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Course code</w:t>
            </w:r>
          </w:p>
        </w:tc>
        <w:tc>
          <w:tcPr/>
          <w:p>
            <w:pPr>
              <w:pStyle w:val="Compact"/>
            </w:pPr>
            <w:r>
              <w:t xml:space="preserve">Course learning outcome</w:t>
            </w:r>
          </w:p>
        </w:tc>
        <w:tc>
          <w:tcPr/>
          <w:p>
            <w:pPr>
              <w:pStyle w:val="Compact"/>
            </w:pPr>
            <w:r>
              <w:t xml:space="preserve">Programme learning outcome</w:t>
            </w:r>
          </w:p>
        </w:tc>
        <w:tc>
          <w:tcPr/>
          <w:p>
            <w:pPr>
              <w:pStyle w:val="Compact"/>
            </w:pPr>
            <w:r>
              <w:t xml:space="preserve">PRK (PQF)</w:t>
            </w:r>
          </w:p>
        </w:tc>
      </w:tr>
      <w:tr>
        <w:tc>
          <w:tcPr/>
          <w:p>
            <w:pPr>
              <w:pStyle w:val="Compact"/>
            </w:pPr>
            <w:r>
              <w:t xml:space="preserve">U1</w:t>
            </w:r>
          </w:p>
        </w:tc>
        <w:tc>
          <w:tcPr/>
          <w:p>
            <w:pPr>
              <w:pStyle w:val="Compact"/>
            </w:pPr>
            <w:r>
              <w:t xml:space="preserve">select and use AI tools in legal work, verifying their outputs and assessing the risk of errors, including so-called hallucinations</w:t>
            </w:r>
          </w:p>
        </w:tc>
        <w:tc>
          <w:tcPr/>
          <w:p>
            <w:pPr>
              <w:pStyle w:val="Compact"/>
            </w:pPr>
            <w:r>
              <w:t xml:space="preserve">K_U03</w:t>
            </w:r>
          </w:p>
        </w:tc>
        <w:tc>
          <w:tcPr/>
          <w:p>
            <w:pPr>
              <w:pStyle w:val="Compact"/>
            </w:pPr>
            <w:r>
              <w:t xml:space="preserve">P7S_UW</w:t>
            </w:r>
          </w:p>
        </w:tc>
      </w:tr>
      <w:tr>
        <w:tc>
          <w:tcPr/>
          <w:p>
            <w:pPr>
              <w:pStyle w:val="Compact"/>
            </w:pPr>
            <w:r>
              <w:t xml:space="preserve">U2</w:t>
            </w:r>
          </w:p>
        </w:tc>
        <w:tc>
          <w:tcPr/>
          <w:p>
            <w:pPr>
              <w:pStyle w:val="Compact"/>
            </w:pPr>
            <w:r>
              <w:t xml:space="preserve">conduct a debate on the regulation of AI and its impact on the functions of law and the role of the legal professions, using legal, ethical and empirical arguments</w:t>
            </w:r>
          </w:p>
        </w:tc>
        <w:tc>
          <w:tcPr/>
          <w:p>
            <w:pPr>
              <w:pStyle w:val="Compact"/>
            </w:pPr>
            <w:r>
              <w:t xml:space="preserve">K_U07</w:t>
            </w:r>
          </w:p>
        </w:tc>
        <w:tc>
          <w:tcPr/>
          <w:p>
            <w:pPr>
              <w:pStyle w:val="Compact"/>
            </w:pPr>
            <w:r>
              <w:t xml:space="preserve">P7S_UK</w:t>
            </w:r>
          </w:p>
        </w:tc>
      </w:tr>
      <w:tr>
        <w:tc>
          <w:tcPr/>
          <w:p>
            <w:pPr>
              <w:pStyle w:val="Compact"/>
            </w:pPr>
            <w:r>
              <w:t xml:space="preserve">U3</w:t>
            </w:r>
          </w:p>
        </w:tc>
        <w:tc>
          <w:tcPr/>
          <w:p>
            <w:pPr>
              <w:pStyle w:val="Compact"/>
            </w:pPr>
            <w:r>
              <w:t xml:space="preserve">present, in writing or orally, their own assessment of a selected legal problem related to AI, drawing on sources of law, case law and literature</w:t>
            </w:r>
          </w:p>
        </w:tc>
        <w:tc>
          <w:tcPr/>
          <w:p>
            <w:pPr>
              <w:pStyle w:val="Compact"/>
            </w:pPr>
            <w:r>
              <w:t xml:space="preserve">K_U08</w:t>
            </w:r>
          </w:p>
        </w:tc>
        <w:tc>
          <w:tcPr/>
          <w:p>
            <w:pPr>
              <w:pStyle w:val="Compact"/>
            </w:pPr>
            <w:r>
              <w:t xml:space="preserve">P7S_UK</w:t>
            </w:r>
          </w:p>
        </w:tc>
      </w:tr>
    </w:tbl>
    <w:bookmarkEnd w:id="13"/>
    <w:bookmarkStart w:id="14" w:name="X1c74b979d52a3f22a82d4f1f7fb052521e9817b"/>
    <w:p>
      <w:pPr>
        <w:pStyle w:val="Nagwek2"/>
      </w:pPr>
      <w:r>
        <w:t xml:space="preserve">Social competences: the graduate is ready 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Course code</w:t>
            </w:r>
          </w:p>
        </w:tc>
        <w:tc>
          <w:tcPr/>
          <w:p>
            <w:pPr>
              <w:pStyle w:val="Compact"/>
            </w:pPr>
            <w:r>
              <w:t xml:space="preserve">Course learning outcome</w:t>
            </w:r>
          </w:p>
        </w:tc>
        <w:tc>
          <w:tcPr/>
          <w:p>
            <w:pPr>
              <w:pStyle w:val="Compact"/>
            </w:pPr>
            <w:r>
              <w:t xml:space="preserve">Programme learning outcome</w:t>
            </w:r>
          </w:p>
        </w:tc>
        <w:tc>
          <w:tcPr/>
          <w:p>
            <w:pPr>
              <w:pStyle w:val="Compact"/>
            </w:pPr>
            <w:r>
              <w:t xml:space="preserve">PRK (PQF)</w:t>
            </w:r>
          </w:p>
        </w:tc>
      </w:tr>
      <w:tr>
        <w:tc>
          <w:tcPr/>
          <w:p>
            <w:pPr>
              <w:pStyle w:val="Compact"/>
            </w:pPr>
            <w:r>
              <w:t xml:space="preserve">K1</w:t>
            </w:r>
          </w:p>
        </w:tc>
        <w:tc>
          <w:tcPr/>
          <w:p>
            <w:pPr>
              <w:pStyle w:val="Compact"/>
            </w:pPr>
            <w:r>
              <w:t xml:space="preserve">critically assess content generated by AI systems and information about AI, including recognising the limits of their own knowledge</w:t>
            </w:r>
          </w:p>
        </w:tc>
        <w:tc>
          <w:tcPr/>
          <w:p>
            <w:pPr>
              <w:pStyle w:val="Compact"/>
            </w:pPr>
            <w:r>
              <w:t xml:space="preserve">K_K01</w:t>
            </w:r>
          </w:p>
        </w:tc>
        <w:tc>
          <w:tcPr/>
          <w:p>
            <w:pPr>
              <w:pStyle w:val="Compact"/>
            </w:pPr>
            <w:r>
              <w:t xml:space="preserve">P7S_KK</w:t>
            </w:r>
          </w:p>
        </w:tc>
      </w:tr>
      <w:tr>
        <w:tc>
          <w:tcPr/>
          <w:p>
            <w:pPr>
              <w:pStyle w:val="Compact"/>
            </w:pPr>
            <w:r>
              <w:t xml:space="preserve">K2</w:t>
            </w:r>
          </w:p>
        </w:tc>
        <w:tc>
          <w:tcPr/>
          <w:p>
            <w:pPr>
              <w:pStyle w:val="Compact"/>
            </w:pPr>
            <w:r>
              <w:t xml:space="preserve">observe and promote standards of ethical and lawful use of AI in legal work</w:t>
            </w:r>
          </w:p>
        </w:tc>
        <w:tc>
          <w:tcPr/>
          <w:p>
            <w:pPr>
              <w:pStyle w:val="Compact"/>
            </w:pPr>
            <w:r>
              <w:t xml:space="preserve">K_K04</w:t>
            </w:r>
          </w:p>
        </w:tc>
        <w:tc>
          <w:tcPr/>
          <w:p>
            <w:pPr>
              <w:pStyle w:val="Compact"/>
            </w:pPr>
            <w:r>
              <w:t xml:space="preserve">P7S_KR</w:t>
            </w:r>
          </w:p>
        </w:tc>
      </w:tr>
      <w:tr>
        <w:tc>
          <w:tcPr/>
          <w:p>
            <w:pPr>
              <w:pStyle w:val="Compact"/>
            </w:pPr>
            <w:r>
              <w:t xml:space="preserve">K3</w:t>
            </w:r>
          </w:p>
        </w:tc>
        <w:tc>
          <w:tcPr/>
          <w:p>
            <w:pPr>
              <w:pStyle w:val="Compact"/>
            </w:pPr>
            <w:r>
              <w:t xml:space="preserve">develop the achievements and uphold the ethos of the legal professions through the responsible implementation of AI-based innovations</w:t>
            </w:r>
          </w:p>
        </w:tc>
        <w:tc>
          <w:tcPr/>
          <w:p>
            <w:pPr>
              <w:pStyle w:val="Compact"/>
            </w:pPr>
            <w:r>
              <w:t xml:space="preserve">K_K05</w:t>
            </w:r>
          </w:p>
        </w:tc>
        <w:tc>
          <w:tcPr/>
          <w:p>
            <w:pPr>
              <w:pStyle w:val="Compact"/>
            </w:pPr>
            <w:r>
              <w:t xml:space="preserve">P7S_KR</w:t>
            </w:r>
          </w:p>
        </w:tc>
      </w:tr>
    </w:tbl>
    <w:bookmarkEnd w:id="14"/>
    <w:bookmarkStart w:id="15" w:name="matrix-outcomes-content-and-verification"/>
    <w:p>
      <w:pPr>
        <w:pStyle w:val="Nagwek2"/>
      </w:pPr>
      <w:r>
        <w:t xml:space="preserve">Matrix: outcomes, content and verification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Outcome</w:t>
            </w:r>
          </w:p>
        </w:tc>
        <w:tc>
          <w:tcPr/>
          <w:p>
            <w:pPr>
              <w:pStyle w:val="Compact"/>
            </w:pPr>
            <w:r>
              <w:t xml:space="preserve">Meetings</w:t>
            </w:r>
          </w:p>
        </w:tc>
        <w:tc>
          <w:tcPr/>
          <w:p>
            <w:pPr>
              <w:pStyle w:val="Compact"/>
            </w:pPr>
            <w:r>
              <w:t xml:space="preserve">Verification</w:t>
            </w:r>
          </w:p>
        </w:tc>
      </w:tr>
      <w:tr>
        <w:tc>
          <w:tcPr/>
          <w:p>
            <w:pPr>
              <w:pStyle w:val="Compact"/>
            </w:pPr>
            <w:r>
              <w:t xml:space="preserve">W1</w:t>
            </w:r>
          </w:p>
        </w:tc>
        <w:tc>
          <w:tcPr/>
          <w:p>
            <w:pPr>
              <w:pStyle w:val="Compact"/>
            </w:pPr>
            <w:r>
              <w:t xml:space="preserve">1, 7, 8</w:t>
            </w:r>
          </w:p>
        </w:tc>
        <w:tc>
          <w:tcPr/>
          <w:p>
            <w:pPr>
              <w:pStyle w:val="Compact"/>
            </w:pPr>
            <w:r>
              <w:t xml:space="preserve">test (closed and open questions) or project</w:t>
            </w:r>
          </w:p>
        </w:tc>
      </w:tr>
      <w:tr>
        <w:tc>
          <w:tcPr/>
          <w:p>
            <w:pPr>
              <w:pStyle w:val="Compact"/>
            </w:pPr>
            <w:r>
              <w:t xml:space="preserve">W2</w:t>
            </w:r>
          </w:p>
        </w:tc>
        <w:tc>
          <w:tcPr/>
          <w:p>
            <w:pPr>
              <w:pStyle w:val="Compact"/>
            </w:pPr>
            <w:r>
              <w:t xml:space="preserve">4, 5, 8, 9</w:t>
            </w:r>
          </w:p>
        </w:tc>
        <w:tc>
          <w:tcPr/>
          <w:p>
            <w:pPr>
              <w:pStyle w:val="Compact"/>
            </w:pPr>
            <w:r>
              <w:t xml:space="preserve">test, project or own work (Path C)</w:t>
            </w:r>
          </w:p>
        </w:tc>
      </w:tr>
      <w:tr>
        <w:tc>
          <w:tcPr/>
          <w:p>
            <w:pPr>
              <w:pStyle w:val="Compact"/>
            </w:pPr>
            <w:r>
              <w:t xml:space="preserve">W3</w:t>
            </w:r>
          </w:p>
        </w:tc>
        <w:tc>
          <w:tcPr/>
          <w:p>
            <w:pPr>
              <w:pStyle w:val="Compact"/>
            </w:pPr>
            <w:r>
              <w:t xml:space="preserve">2, 3, 6, 7, 10</w:t>
            </w:r>
          </w:p>
        </w:tc>
        <w:tc>
          <w:tcPr/>
          <w:p>
            <w:pPr>
              <w:pStyle w:val="Compact"/>
            </w:pPr>
            <w:r>
              <w:t xml:space="preserve">test, project or own work (Path C)</w:t>
            </w:r>
          </w:p>
        </w:tc>
      </w:tr>
      <w:tr>
        <w:tc>
          <w:tcPr/>
          <w:p>
            <w:pPr>
              <w:pStyle w:val="Compact"/>
            </w:pPr>
            <w:r>
              <w:t xml:space="preserve">U1</w:t>
            </w:r>
          </w:p>
        </w:tc>
        <w:tc>
          <w:tcPr/>
          <w:p>
            <w:pPr>
              <w:pStyle w:val="Compact"/>
            </w:pPr>
            <w:r>
              <w:t xml:space="preserve">3, 8</w:t>
            </w:r>
          </w:p>
        </w:tc>
        <w:tc>
          <w:tcPr/>
          <w:p>
            <w:pPr>
              <w:pStyle w:val="Compact"/>
            </w:pPr>
            <w:r>
              <w:t xml:space="preserve">tasks with generative models, open question in the test, project</w:t>
            </w:r>
          </w:p>
        </w:tc>
      </w:tr>
      <w:tr>
        <w:tc>
          <w:tcPr/>
          <w:p>
            <w:pPr>
              <w:pStyle w:val="Compact"/>
            </w:pPr>
            <w:r>
              <w:t xml:space="preserve">U2</w:t>
            </w:r>
          </w:p>
        </w:tc>
        <w:tc>
          <w:tcPr/>
          <w:p>
            <w:pPr>
              <w:pStyle w:val="Compact"/>
            </w:pPr>
            <w:r>
              <w:t xml:space="preserve">5, 6, 9</w:t>
            </w:r>
          </w:p>
        </w:tc>
        <w:tc>
          <w:tcPr/>
          <w:p>
            <w:pPr>
              <w:pStyle w:val="Compact"/>
            </w:pPr>
            <w:r>
              <w:t xml:space="preserve">participation in discussion, open question in the test</w:t>
            </w:r>
          </w:p>
        </w:tc>
      </w:tr>
      <w:tr>
        <w:tc>
          <w:tcPr/>
          <w:p>
            <w:pPr>
              <w:pStyle w:val="Compact"/>
            </w:pPr>
            <w:r>
              <w:t xml:space="preserve">U3</w:t>
            </w:r>
          </w:p>
        </w:tc>
        <w:tc>
          <w:tcPr/>
          <w:p>
            <w:pPr>
              <w:pStyle w:val="Compact"/>
            </w:pPr>
            <w:r>
              <w:t xml:space="preserve">all</w:t>
            </w:r>
          </w:p>
        </w:tc>
        <w:tc>
          <w:tcPr/>
          <w:p>
            <w:pPr>
              <w:pStyle w:val="Compact"/>
            </w:pPr>
            <w:r>
              <w:t xml:space="preserve">project or open questions in the test</w:t>
            </w:r>
          </w:p>
        </w:tc>
      </w:tr>
      <w:tr>
        <w:tc>
          <w:tcPr/>
          <w:p>
            <w:pPr>
              <w:pStyle w:val="Compact"/>
            </w:pPr>
            <w:r>
              <w:t xml:space="preserve">K1</w:t>
            </w:r>
          </w:p>
        </w:tc>
        <w:tc>
          <w:tcPr/>
          <w:p>
            <w:pPr>
              <w:pStyle w:val="Compact"/>
            </w:pPr>
            <w:r>
              <w:t xml:space="preserve">3, 5, 8</w:t>
            </w:r>
          </w:p>
        </w:tc>
        <w:tc>
          <w:tcPr/>
          <w:p>
            <w:pPr>
              <w:pStyle w:val="Compact"/>
            </w:pPr>
            <w:r>
              <w:t xml:space="preserve">participation, tasks with generative models</w:t>
            </w:r>
          </w:p>
        </w:tc>
      </w:tr>
      <w:tr>
        <w:tc>
          <w:tcPr/>
          <w:p>
            <w:pPr>
              <w:pStyle w:val="Compact"/>
            </w:pPr>
            <w:r>
              <w:t xml:space="preserve">K2</w:t>
            </w:r>
          </w:p>
        </w:tc>
        <w:tc>
          <w:tcPr/>
          <w:p>
            <w:pPr>
              <w:pStyle w:val="Compact"/>
            </w:pPr>
            <w:r>
              <w:t xml:space="preserve">5, 8</w:t>
            </w:r>
          </w:p>
        </w:tc>
        <w:tc>
          <w:tcPr/>
          <w:p>
            <w:pPr>
              <w:pStyle w:val="Compact"/>
            </w:pPr>
            <w:r>
              <w:t xml:space="preserve">participation, project</w:t>
            </w:r>
          </w:p>
        </w:tc>
      </w:tr>
      <w:tr>
        <w:tc>
          <w:tcPr/>
          <w:p>
            <w:pPr>
              <w:pStyle w:val="Compact"/>
            </w:pPr>
            <w:r>
              <w:t xml:space="preserve">K3</w:t>
            </w:r>
          </w:p>
        </w:tc>
        <w:tc>
          <w:tcPr/>
          <w:p>
            <w:pPr>
              <w:pStyle w:val="Compact"/>
            </w:pPr>
            <w:r>
              <w:t xml:space="preserve">4, 8, 9</w:t>
            </w:r>
          </w:p>
        </w:tc>
        <w:tc>
          <w:tcPr/>
          <w:p>
            <w:pPr>
              <w:pStyle w:val="Compact"/>
            </w:pPr>
            <w:r>
              <w:t xml:space="preserve">participation, discussion</w:t>
            </w:r>
          </w:p>
        </w:tc>
      </w:tr>
    </w:tbl>
    <w:bookmarkEnd w:id="15"/>
    <w:bookmarkEnd w:id="16"/>
    <w:bookmarkStart w:id="17" w:name="course-content"/>
    <w:p>
      <w:pPr>
        <w:pStyle w:val="Nagwek1"/>
      </w:pPr>
      <w:r>
        <w:t xml:space="preserve">Course content</w:t>
      </w:r>
    </w:p>
    <w:p>
      <w:pPr>
        <w:pStyle w:val="FirstParagraph"/>
      </w:pPr>
      <w:r>
        <w:t xml:space="preserve">Ten topics over eight meetings. Topic 4 is split between two longer meetings: the part on work (6 November 2026, together with topic 3) and the part on education (20 November 2026, together with topic 5). Topic 7 is split into a part on the AI Act and the Polish act (27 November 2026, together with topic 6) and a part on the regulatory framework and copyright (4 December 2026, together with topic 8). The last meeting (22 January 2027) covers topic 10, a course summary and preparation for the assessment. Meeting dates are on the course website (map and list of districts).</w:t>
      </w:r>
    </w:p>
    <w:p>
      <w:pPr>
        <w:pStyle w:val="BodyText"/>
      </w:pPr>
      <w:r>
        <w:rPr>
          <w:b/>
          <w:bCs/>
        </w:rPr>
        <w:t xml:space="preserve">Topic 1. Introduction. What is artificial intelligence?</w:t>
      </w:r>
    </w:p>
    <w:p>
      <w:pPr>
        <w:pStyle w:val="Compact"/>
        <w:numPr>
          <w:ilvl w:val="0"/>
          <w:numId w:val="1001"/>
        </w:numPr>
      </w:pPr>
      <w:r>
        <w:t xml:space="preserve">Organisational matters: assessment rules, course website, policy on the use of AI in class.</w:t>
      </w:r>
    </w:p>
    <w:p>
      <w:pPr>
        <w:pStyle w:val="Compact"/>
        <w:numPr>
          <w:ilvl w:val="0"/>
          <w:numId w:val="1001"/>
        </w:numPr>
      </w:pPr>
      <w:r>
        <w:t xml:space="preserve">Definitions of AI: Turing, McCarthy, OECD, the definition of an AI system in Article 3(1) AI Act.</w:t>
      </w:r>
    </w:p>
    <w:p>
      <w:pPr>
        <w:pStyle w:val="Compact"/>
        <w:numPr>
          <w:ilvl w:val="0"/>
          <w:numId w:val="1001"/>
        </w:numPr>
      </w:pPr>
      <w:r>
        <w:t xml:space="preserve">Basic concepts: model, training data, parameters, machine learning, deep learning, natural language processing, generative AI.</w:t>
      </w:r>
    </w:p>
    <w:p>
      <w:pPr>
        <w:pStyle w:val="Compact"/>
        <w:numPr>
          <w:ilvl w:val="0"/>
          <w:numId w:val="1001"/>
        </w:numPr>
      </w:pPr>
      <w:r>
        <w:t xml:space="preserve">ANI, AGI, ASI. The Turing test and its contemporary critiques.</w:t>
      </w:r>
    </w:p>
    <w:p>
      <w:pPr>
        <w:pStyle w:val="Compact"/>
        <w:numPr>
          <w:ilvl w:val="0"/>
          <w:numId w:val="1001"/>
        </w:numPr>
      </w:pPr>
      <w:r>
        <w:t xml:space="preserve">Overview of AI applications, including in legal practice. AI literacy (Article 4 AI Act).</w:t>
      </w:r>
    </w:p>
    <w:p>
      <w:pPr>
        <w:pStyle w:val="FirstParagraph"/>
      </w:pPr>
      <w:r>
        <w:rPr>
          <w:b/>
          <w:bCs/>
        </w:rPr>
        <w:t xml:space="preserve">Topic 2. History of artificial intelligence: from automata to foundation models</w:t>
      </w:r>
    </w:p>
    <w:p>
      <w:pPr>
        <w:pStyle w:val="Compact"/>
        <w:numPr>
          <w:ilvl w:val="0"/>
          <w:numId w:val="1002"/>
        </w:numPr>
      </w:pPr>
      <w:r>
        <w:t xml:space="preserve">Prehistory: myths, automata, Llull and Leibniz, the Analytical Engine.</w:t>
      </w:r>
    </w:p>
    <w:p>
      <w:pPr>
        <w:pStyle w:val="Compact"/>
        <w:numPr>
          <w:ilvl w:val="0"/>
          <w:numId w:val="1002"/>
        </w:numPr>
      </w:pPr>
      <w:r>
        <w:t xml:space="preserve">Foundations: the McCulloch–Pitts neuron model (1943), Turing (1950), the Dartmouth conference (1956), Rosenblatt’s perceptron (1958).</w:t>
      </w:r>
    </w:p>
    <w:p>
      <w:pPr>
        <w:pStyle w:val="Compact"/>
        <w:numPr>
          <w:ilvl w:val="0"/>
          <w:numId w:val="1002"/>
        </w:numPr>
      </w:pPr>
      <w:r>
        <w:t xml:space="preserve">The golden years (1956–1974), the first AI winter (1974–1980), the renaissance of expert systems (1980–1987), including the first legal expert systems, the second AI winter (1987–1993).</w:t>
      </w:r>
    </w:p>
    <w:p>
      <w:pPr>
        <w:pStyle w:val="Compact"/>
        <w:numPr>
          <w:ilvl w:val="0"/>
          <w:numId w:val="1002"/>
        </w:numPr>
      </w:pPr>
      <w:r>
        <w:t xml:space="preserve">Breakthroughs: Deep Blue (1997), ImageNet (2012), AlphaGo and ‘move 37’ (2016), the transformer architecture (2017), ChatGPT (2022), AI agents (2024–2026).</w:t>
      </w:r>
    </w:p>
    <w:p>
      <w:pPr>
        <w:pStyle w:val="FirstParagraph"/>
      </w:pPr>
      <w:r>
        <w:rPr>
          <w:b/>
          <w:bCs/>
        </w:rPr>
        <w:t xml:space="preserve">Topic 3. How does AI work? Technological foundations for lawyers</w:t>
      </w:r>
    </w:p>
    <w:p>
      <w:pPr>
        <w:pStyle w:val="Compact"/>
        <w:numPr>
          <w:ilvl w:val="0"/>
          <w:numId w:val="1003"/>
        </w:numPr>
      </w:pPr>
      <w:r>
        <w:t xml:space="preserve">From rules to data: expert systems versus machine learning.</w:t>
      </w:r>
    </w:p>
    <w:p>
      <w:pPr>
        <w:pStyle w:val="Compact"/>
        <w:numPr>
          <w:ilvl w:val="0"/>
          <w:numId w:val="1003"/>
        </w:numPr>
      </w:pPr>
      <w:r>
        <w:t xml:space="preserve">Supervised, unsupervised and reinforcement learning.</w:t>
      </w:r>
    </w:p>
    <w:p>
      <w:pPr>
        <w:pStyle w:val="Compact"/>
        <w:numPr>
          <w:ilvl w:val="0"/>
          <w:numId w:val="1003"/>
        </w:numPr>
      </w:pPr>
      <w:r>
        <w:t xml:space="preserve">Neural networks and deep learning. The brain and the neural network: the limits of the analogy.</w:t>
      </w:r>
    </w:p>
    <w:p>
      <w:pPr>
        <w:pStyle w:val="Compact"/>
        <w:numPr>
          <w:ilvl w:val="0"/>
          <w:numId w:val="1003"/>
        </w:numPr>
      </w:pPr>
      <w:r>
        <w:t xml:space="preserve">Large language models: tokens, next-token prediction, the attention mechanism.</w:t>
      </w:r>
    </w:p>
    <w:p>
      <w:pPr>
        <w:pStyle w:val="Compact"/>
        <w:numPr>
          <w:ilvl w:val="0"/>
          <w:numId w:val="1003"/>
        </w:numPr>
      </w:pPr>
      <w:r>
        <w:t xml:space="preserve">Hallucinations and their causes. The black-box problem and explainable AI (XAI).</w:t>
      </w:r>
    </w:p>
    <w:p>
      <w:pPr>
        <w:pStyle w:val="Compact"/>
        <w:numPr>
          <w:ilvl w:val="0"/>
          <w:numId w:val="1003"/>
        </w:numPr>
      </w:pPr>
      <w:r>
        <w:t xml:space="preserve">General-purpose AI models (GPAI), multimodal models, AI agents.</w:t>
      </w:r>
    </w:p>
    <w:p>
      <w:pPr>
        <w:pStyle w:val="FirstParagraph"/>
      </w:pPr>
      <w:r>
        <w:rPr>
          <w:b/>
          <w:bCs/>
        </w:rPr>
        <w:t xml:space="preserve">Topic 4. Social challenges of AI (I): work and education</w:t>
      </w:r>
    </w:p>
    <w:p>
      <w:pPr>
        <w:pStyle w:val="Compact"/>
        <w:numPr>
          <w:ilvl w:val="0"/>
          <w:numId w:val="1004"/>
        </w:numPr>
      </w:pPr>
      <w:r>
        <w:t xml:space="preserve">Automation versus augmentation of work. The ‘jagged frontier’ of technology: research by BCG and Harvard Business School.</w:t>
      </w:r>
    </w:p>
    <w:p>
      <w:pPr>
        <w:pStyle w:val="Compact"/>
        <w:numPr>
          <w:ilvl w:val="0"/>
          <w:numId w:val="1004"/>
        </w:numPr>
      </w:pPr>
      <w:r>
        <w:t xml:space="preserve">Sectors and occupations most affected by the change, including the legal professions.</w:t>
      </w:r>
    </w:p>
    <w:p>
      <w:pPr>
        <w:pStyle w:val="Compact"/>
        <w:numPr>
          <w:ilvl w:val="0"/>
          <w:numId w:val="1004"/>
        </w:numPr>
      </w:pPr>
      <w:r>
        <w:t xml:space="preserve">Invisible data work, precarisation, proposals for a basic income.</w:t>
      </w:r>
    </w:p>
    <w:p>
      <w:pPr>
        <w:pStyle w:val="Compact"/>
        <w:numPr>
          <w:ilvl w:val="0"/>
          <w:numId w:val="1004"/>
        </w:numPr>
      </w:pPr>
      <w:r>
        <w:t xml:space="preserve">Education: academic integrity, the ‘illusion of cognitive efficiency’, findings of the ‘Algorytm w Ławce Szkolnej’ study.</w:t>
      </w:r>
    </w:p>
    <w:p>
      <w:pPr>
        <w:pStyle w:val="Compact"/>
        <w:numPr>
          <w:ilvl w:val="0"/>
          <w:numId w:val="1004"/>
        </w:numPr>
      </w:pPr>
      <w:r>
        <w:t xml:space="preserve">Reskilling and employees’ digital skills.</w:t>
      </w:r>
    </w:p>
    <w:p>
      <w:pPr>
        <w:pStyle w:val="FirstParagraph"/>
      </w:pPr>
      <w:r>
        <w:rPr>
          <w:b/>
          <w:bCs/>
        </w:rPr>
        <w:t xml:space="preserve">Topic 5. Social challenges of AI (II): ethics, bias, transparency</w:t>
      </w:r>
    </w:p>
    <w:p>
      <w:pPr>
        <w:pStyle w:val="Compact"/>
        <w:numPr>
          <w:ilvl w:val="0"/>
          <w:numId w:val="1005"/>
        </w:numPr>
      </w:pPr>
      <w:r>
        <w:t xml:space="preserve">Ethical frameworks for AI: the guidelines of the High-Level Expert Group (2019), the UNESCO Recommendation (2021), the OECD principles.</w:t>
      </w:r>
    </w:p>
    <w:p>
      <w:pPr>
        <w:pStyle w:val="Compact"/>
        <w:numPr>
          <w:ilvl w:val="0"/>
          <w:numId w:val="1005"/>
        </w:numPr>
      </w:pPr>
      <w:r>
        <w:t xml:space="preserve">Algorithmic bias: recruitment, recidivism risk assessment (State v. Loomis), the SyRI system (the Netherlands).</w:t>
      </w:r>
    </w:p>
    <w:p>
      <w:pPr>
        <w:pStyle w:val="Compact"/>
        <w:numPr>
          <w:ilvl w:val="0"/>
          <w:numId w:val="1005"/>
        </w:numPr>
      </w:pPr>
      <w:r>
        <w:t xml:space="preserve">Transparency and explainability of decisions: Article 22 GDPR, the judgments of the Court of Justice of the European Union (CJEU) in SCHUFA (C-634/21) and Dun &amp; Bradstreet Austria (C-203/22).</w:t>
      </w:r>
    </w:p>
    <w:p>
      <w:pPr>
        <w:pStyle w:val="Compact"/>
        <w:numPr>
          <w:ilvl w:val="0"/>
          <w:numId w:val="1005"/>
        </w:numPr>
      </w:pPr>
      <w:r>
        <w:t xml:space="preserve">Content moderation and private censorship: the SIN v Meta case, DSA mechanisms.</w:t>
      </w:r>
    </w:p>
    <w:p>
      <w:pPr>
        <w:pStyle w:val="Compact"/>
        <w:numPr>
          <w:ilvl w:val="0"/>
          <w:numId w:val="1005"/>
        </w:numPr>
      </w:pPr>
      <w:r>
        <w:t xml:space="preserve">Disinformation and deepfakes. Optimising for engagement versus truth (‘Moloch’s Bargain’).</w:t>
      </w:r>
    </w:p>
    <w:p>
      <w:pPr>
        <w:pStyle w:val="FirstParagraph"/>
      </w:pPr>
      <w:r>
        <w:rPr>
          <w:b/>
          <w:bCs/>
        </w:rPr>
        <w:t xml:space="preserve">Topic 6. Cultural challenges of AI: regulation, language, creativity</w:t>
      </w:r>
    </w:p>
    <w:p>
      <w:pPr>
        <w:pStyle w:val="Compact"/>
        <w:numPr>
          <w:ilvl w:val="0"/>
          <w:numId w:val="1006"/>
        </w:numPr>
      </w:pPr>
      <w:r>
        <w:t xml:space="preserve">Regulation as a cultural choice: risk-based (EU), impact- and development-based (South Korea, Japan), market-driven (USA) and state-led (China) approaches.</w:t>
      </w:r>
    </w:p>
    <w:p>
      <w:pPr>
        <w:pStyle w:val="Compact"/>
        <w:numPr>
          <w:ilvl w:val="0"/>
          <w:numId w:val="1006"/>
        </w:numPr>
      </w:pPr>
      <w:r>
        <w:t xml:space="preserve">Cognitive heuristics and game theory in the making of AI regulation.</w:t>
      </w:r>
    </w:p>
    <w:p>
      <w:pPr>
        <w:pStyle w:val="Compact"/>
        <w:numPr>
          <w:ilvl w:val="0"/>
          <w:numId w:val="1006"/>
        </w:numPr>
      </w:pPr>
      <w:r>
        <w:t xml:space="preserve">Language and culture in training data: the dominance of English, Polish language models (PLLuM, Bielik), local values in global systems.</w:t>
      </w:r>
    </w:p>
    <w:p>
      <w:pPr>
        <w:pStyle w:val="Compact"/>
        <w:numPr>
          <w:ilvl w:val="0"/>
          <w:numId w:val="1006"/>
        </w:numPr>
      </w:pPr>
      <w:r>
        <w:t xml:space="preserve">AI and creativity: machine creativity, generative art, deepfakes in culture.</w:t>
      </w:r>
    </w:p>
    <w:p>
      <w:pPr>
        <w:pStyle w:val="Compact"/>
        <w:numPr>
          <w:ilvl w:val="0"/>
          <w:numId w:val="1006"/>
        </w:numPr>
      </w:pPr>
      <w:r>
        <w:t xml:space="preserve">Images of AI in culture: Lem, Asimov, ‘Blade Runner’, ‘Black Mirror’. Anthropomorphisation.</w:t>
      </w:r>
    </w:p>
    <w:p>
      <w:pPr>
        <w:pStyle w:val="FirstParagraph"/>
      </w:pPr>
      <w:r>
        <w:rPr>
          <w:b/>
          <w:bCs/>
        </w:rPr>
        <w:t xml:space="preserve">Topic 7. Legal challenges of AI (I): regulatory framework and copyright</w:t>
      </w:r>
    </w:p>
    <w:p>
      <w:pPr>
        <w:pStyle w:val="Compact"/>
        <w:numPr>
          <w:ilvl w:val="0"/>
          <w:numId w:val="1007"/>
        </w:numPr>
      </w:pPr>
      <w:r>
        <w:t xml:space="preserve">AI Act: definitions, the risk-based approach, prohibited AI practices, high-risk AI systems, transparency obligations (Article 50), general-purpose AI models.</w:t>
      </w:r>
    </w:p>
    <w:p>
      <w:pPr>
        <w:pStyle w:val="Compact"/>
        <w:numPr>
          <w:ilvl w:val="0"/>
          <w:numId w:val="1007"/>
        </w:numPr>
      </w:pPr>
      <w:r>
        <w:t xml:space="preserve">The timeline for the application of the AI Act following the amendments introduced by Regulation (EU) 2026/1744.</w:t>
      </w:r>
    </w:p>
    <w:p>
      <w:pPr>
        <w:pStyle w:val="Compact"/>
        <w:numPr>
          <w:ilvl w:val="0"/>
          <w:numId w:val="1007"/>
        </w:numPr>
      </w:pPr>
      <w:r>
        <w:t xml:space="preserve">The Act of 3 July 2026 on Artificial Intelligence Systems: the Commission for the Development and Safety of Artificial Intelligence (KRiBSI), inspections, sanctions, regulatory sandboxes.</w:t>
      </w:r>
    </w:p>
    <w:p>
      <w:pPr>
        <w:pStyle w:val="Compact"/>
        <w:numPr>
          <w:ilvl w:val="0"/>
          <w:numId w:val="1007"/>
        </w:numPr>
      </w:pPr>
      <w:r>
        <w:t xml:space="preserve">The Council of Europe Framework Convention on Artificial Intelligence and Human Rights, Democracy and the Rule of Law (CETS No. 225). The DSA and Regulation (EU) 2022/1925 (Digital Markets Act, DMA) as the wider regulatory environment.</w:t>
      </w:r>
    </w:p>
    <w:p>
      <w:pPr>
        <w:pStyle w:val="Compact"/>
        <w:numPr>
          <w:ilvl w:val="0"/>
          <w:numId w:val="1007"/>
        </w:numPr>
      </w:pPr>
      <w:r>
        <w:t xml:space="preserve">Copyright: whether AI output is a work, text and data mining (TDM) in model training, litigation (Thaler v. Perlmutter, Getty Images v. Stability AI, GEMA v. OpenAI, New York Times v. OpenAI and Microsoft, Bartz v. Anthropic).</w:t>
      </w:r>
    </w:p>
    <w:p>
      <w:pPr>
        <w:pStyle w:val="FirstParagraph"/>
      </w:pPr>
      <w:r>
        <w:rPr>
          <w:b/>
          <w:bCs/>
        </w:rPr>
        <w:t xml:space="preserve">Topic 8. Legal challenges of AI (II): personal data, liability, administration of justice</w:t>
      </w:r>
    </w:p>
    <w:p>
      <w:pPr>
        <w:pStyle w:val="Compact"/>
        <w:numPr>
          <w:ilvl w:val="0"/>
          <w:numId w:val="1008"/>
        </w:numPr>
      </w:pPr>
      <w:r>
        <w:t xml:space="preserve">Personal data protection and AI: legal bases for processing, data minimisation, data subject rights, data protection impact assessment, automated individual decision-making.</w:t>
      </w:r>
    </w:p>
    <w:p>
      <w:pPr>
        <w:pStyle w:val="Compact"/>
        <w:numPr>
          <w:ilvl w:val="0"/>
          <w:numId w:val="1008"/>
        </w:numPr>
      </w:pPr>
      <w:r>
        <w:t xml:space="preserve">Privacy violations by AI systems: facial recognition, profiling, decisions of supervisory authorities.</w:t>
      </w:r>
    </w:p>
    <w:p>
      <w:pPr>
        <w:pStyle w:val="Compact"/>
        <w:numPr>
          <w:ilvl w:val="0"/>
          <w:numId w:val="1008"/>
        </w:numPr>
      </w:pPr>
      <w:r>
        <w:t xml:space="preserve">Civil liability for damage caused by AI: liability regimes under the Civil Code (k.c.), the new Directive (EU) 2024/2853 on liability for defective products (new Product Liability Directive), the withdrawal of the proposed AI Liability Directive.</w:t>
      </w:r>
    </w:p>
    <w:p>
      <w:pPr>
        <w:pStyle w:val="Compact"/>
        <w:numPr>
          <w:ilvl w:val="0"/>
          <w:numId w:val="1008"/>
        </w:numPr>
      </w:pPr>
      <w:r>
        <w:t xml:space="preserve">Criminal liability. The debate on legal personhood for AI.</w:t>
      </w:r>
    </w:p>
    <w:p>
      <w:pPr>
        <w:pStyle w:val="Compact"/>
        <w:numPr>
          <w:ilvl w:val="0"/>
          <w:numId w:val="1008"/>
        </w:numPr>
      </w:pPr>
      <w:r>
        <w:t xml:space="preserve">AI in the administration of justice and the legal professions: high-risk AI systems, hallucinated case law in court filings (Mata v. Avianca), findings of the ‘Algorytm w Todze’ study, standards of professional ethics.</w:t>
      </w:r>
    </w:p>
    <w:p>
      <w:pPr>
        <w:pStyle w:val="FirstParagraph"/>
      </w:pPr>
      <w:r>
        <w:rPr>
          <w:b/>
          <w:bCs/>
        </w:rPr>
        <w:t xml:space="preserve">Topic 9. The future of AI: trends, scenarios, deployments</w:t>
      </w:r>
    </w:p>
    <w:p>
      <w:pPr>
        <w:pStyle w:val="Compact"/>
        <w:numPr>
          <w:ilvl w:val="0"/>
          <w:numId w:val="1009"/>
        </w:numPr>
      </w:pPr>
      <w:r>
        <w:t xml:space="preserve">Moore’s law, scaling laws and the pace of change. The technological singularity.</w:t>
      </w:r>
    </w:p>
    <w:p>
      <w:pPr>
        <w:pStyle w:val="Compact"/>
        <w:numPr>
          <w:ilvl w:val="0"/>
          <w:numId w:val="1009"/>
        </w:numPr>
      </w:pPr>
      <w:r>
        <w:t xml:space="preserve">Development scenarios (including ‘AI 2027’) and AI researchers’ forecasts.</w:t>
      </w:r>
    </w:p>
    <w:p>
      <w:pPr>
        <w:pStyle w:val="Compact"/>
        <w:numPr>
          <w:ilvl w:val="0"/>
          <w:numId w:val="1009"/>
        </w:numPr>
      </w:pPr>
      <w:r>
        <w:t xml:space="preserve">Techno-optimism and techno-scepticism. The alignment problem.</w:t>
      </w:r>
    </w:p>
    <w:p>
      <w:pPr>
        <w:pStyle w:val="Compact"/>
        <w:numPr>
          <w:ilvl w:val="0"/>
          <w:numId w:val="1009"/>
        </w:numPr>
      </w:pPr>
      <w:r>
        <w:t xml:space="preserve">Case studies of AI deployments: successes, failures, lessons learned and good practice.</w:t>
      </w:r>
    </w:p>
    <w:p>
      <w:pPr>
        <w:pStyle w:val="FirstParagraph"/>
      </w:pPr>
      <w:r>
        <w:rPr>
          <w:b/>
          <w:bCs/>
        </w:rPr>
        <w:t xml:space="preserve">Topic 10. AI and sustainable development. Course summary</w:t>
      </w:r>
    </w:p>
    <w:p>
      <w:pPr>
        <w:pStyle w:val="Compact"/>
        <w:numPr>
          <w:ilvl w:val="0"/>
          <w:numId w:val="1010"/>
        </w:numPr>
      </w:pPr>
      <w:r>
        <w:t xml:space="preserve">The energy and water footprint of AI. Data centres and the energy system.</w:t>
      </w:r>
    </w:p>
    <w:p>
      <w:pPr>
        <w:pStyle w:val="Compact"/>
        <w:numPr>
          <w:ilvl w:val="0"/>
          <w:numId w:val="1010"/>
        </w:numPr>
      </w:pPr>
      <w:r>
        <w:t xml:space="preserve">Raw materials and supply chains: cobalt, tin, lithium. The historical precedent of gutta-percha.</w:t>
      </w:r>
    </w:p>
    <w:p>
      <w:pPr>
        <w:pStyle w:val="Compact"/>
        <w:numPr>
          <w:ilvl w:val="0"/>
          <w:numId w:val="1010"/>
        </w:numPr>
      </w:pPr>
      <w:r>
        <w:t xml:space="preserve">The ‘logic of extraction’ (K. Crawford) and global inequalities.</w:t>
      </w:r>
    </w:p>
    <w:p>
      <w:pPr>
        <w:pStyle w:val="Compact"/>
        <w:numPr>
          <w:ilvl w:val="0"/>
          <w:numId w:val="1010"/>
        </w:numPr>
      </w:pPr>
      <w:r>
        <w:t xml:space="preserve">AI applications for the climate and the environment. Rules on environmental impact reporting.</w:t>
      </w:r>
    </w:p>
    <w:p>
      <w:pPr>
        <w:pStyle w:val="Compact"/>
        <w:numPr>
          <w:ilvl w:val="0"/>
          <w:numId w:val="1010"/>
        </w:numPr>
      </w:pPr>
      <w:r>
        <w:t xml:space="preserve">Course summary and preparation for assessment.</w:t>
      </w:r>
    </w:p>
    <w:bookmarkEnd w:id="17"/>
    <w:bookmarkStart w:id="18" w:name="teaching-methods"/>
    <w:p>
      <w:pPr>
        <w:pStyle w:val="Nagwek1"/>
      </w:pPr>
      <w:r>
        <w:t xml:space="preserve">Teaching methods</w:t>
      </w:r>
    </w:p>
    <w:p>
      <w:pPr>
        <w:pStyle w:val="Compact"/>
        <w:numPr>
          <w:ilvl w:val="0"/>
          <w:numId w:val="1011"/>
        </w:numPr>
      </w:pPr>
      <w:r>
        <w:rPr>
          <w:b/>
          <w:bCs/>
        </w:rPr>
        <w:t xml:space="preserve">Expository methods:</w:t>
      </w:r>
      <w:r>
        <w:t xml:space="preserve"> </w:t>
      </w:r>
      <w:r>
        <w:t xml:space="preserve">informative lecture, explanation, multimedia presentation.</w:t>
      </w:r>
    </w:p>
    <w:p>
      <w:pPr>
        <w:pStyle w:val="Compact"/>
        <w:numPr>
          <w:ilvl w:val="0"/>
          <w:numId w:val="1011"/>
        </w:numPr>
      </w:pPr>
      <w:r>
        <w:rPr>
          <w:b/>
          <w:bCs/>
        </w:rPr>
        <w:t xml:space="preserve">Problem-based methods:</w:t>
      </w:r>
      <w:r>
        <w:t xml:space="preserve"> </w:t>
      </w:r>
      <w:r>
        <w:t xml:space="preserve">problem-based lecture, case study, analysis of judgments, SWOT analysis, decision trees, discussion.</w:t>
      </w:r>
    </w:p>
    <w:p>
      <w:pPr>
        <w:pStyle w:val="Compact"/>
        <w:numPr>
          <w:ilvl w:val="0"/>
          <w:numId w:val="1011"/>
        </w:numPr>
      </w:pPr>
      <w:r>
        <w:rPr>
          <w:b/>
          <w:bCs/>
        </w:rPr>
        <w:t xml:space="preserve">Activating methods:</w:t>
      </w:r>
      <w:r>
        <w:t xml:space="preserve"> </w:t>
      </w:r>
      <w:r>
        <w:t xml:space="preserve">tasks with generative models, interactive applications and quizzes on the course website, live polls.</w:t>
      </w:r>
    </w:p>
    <w:bookmarkEnd w:id="18"/>
    <w:bookmarkStart w:id="19" w:name="assessment-methods-and-criteria"/>
    <w:p>
      <w:pPr>
        <w:pStyle w:val="Nagwek1"/>
      </w:pPr>
      <w:r>
        <w:t xml:space="preserve">Assessment methods and criteria</w:t>
      </w:r>
    </w:p>
    <w:p>
      <w:pPr>
        <w:pStyle w:val="FirstParagraph"/>
      </w:pPr>
      <w:r>
        <w:rPr>
          <w:b/>
          <w:bCs/>
        </w:rPr>
        <w:t xml:space="preserve">Form of assessment:</w:t>
      </w:r>
      <w:r>
        <w:t xml:space="preserve"> </w:t>
      </w:r>
      <w:r>
        <w:t xml:space="preserve">graded credit. Students choose one of three paths.</w:t>
      </w:r>
    </w:p>
    <w:p>
      <w:pPr>
        <w:pStyle w:val="BodyText"/>
      </w:pPr>
      <w:r>
        <w:rPr>
          <w:b/>
          <w:bCs/>
        </w:rPr>
        <w:t xml:space="preserve">Path A: written test.</w:t>
      </w:r>
    </w:p>
    <w:p>
      <w:pPr>
        <w:pStyle w:val="Compact"/>
        <w:numPr>
          <w:ilvl w:val="0"/>
          <w:numId w:val="1012"/>
        </w:numPr>
      </w:pPr>
      <w:r>
        <w:t xml:space="preserve">20 single-choice questions (1 point each) and 2 open questions (5 points each), 30 points in total.</w:t>
      </w:r>
    </w:p>
    <w:p>
      <w:pPr>
        <w:pStyle w:val="Compact"/>
        <w:numPr>
          <w:ilvl w:val="0"/>
          <w:numId w:val="1012"/>
        </w:numPr>
      </w:pPr>
      <w:r>
        <w:t xml:space="preserve">The open questions test the ability to apply legal provisions to a short set of facts and to critically assess a problem.</w:t>
      </w:r>
    </w:p>
    <w:p>
      <w:pPr>
        <w:pStyle w:val="FirstParagraph"/>
      </w:pPr>
      <w:r>
        <w:rPr>
          <w:b/>
          <w:bCs/>
        </w:rPr>
        <w:t xml:space="preserve">Path B: course project.</w:t>
      </w:r>
    </w:p>
    <w:p>
      <w:pPr>
        <w:pStyle w:val="Compact"/>
        <w:numPr>
          <w:ilvl w:val="0"/>
          <w:numId w:val="1013"/>
        </w:numPr>
      </w:pPr>
      <w:r>
        <w:t xml:space="preserve">A concept for an AI-based application that helps lawyers with a specific task, together with an implementation plan (a 4–5-page document plus annexes: a flow diagram and draft screens; a prototype is optional). The idea for the application must be agreed with the lecturer by 6 November 2026.</w:t>
      </w:r>
    </w:p>
    <w:p>
      <w:pPr>
        <w:pStyle w:val="Compact"/>
        <w:numPr>
          <w:ilvl w:val="0"/>
          <w:numId w:val="1013"/>
        </w:numPr>
      </w:pPr>
      <w:r>
        <w:t xml:space="preserve">The project covers: the problem and the user, the application concept, a legal analysis (AI Act, GDPR, professional secrecy, liability, professional ethics), risks and safeguards, and the implementation plan.</w:t>
      </w:r>
    </w:p>
    <w:p>
      <w:pPr>
        <w:pStyle w:val="Compact"/>
        <w:numPr>
          <w:ilvl w:val="0"/>
          <w:numId w:val="1013"/>
        </w:numPr>
      </w:pPr>
      <w:r>
        <w:t xml:space="preserve">Criteria: application concept and its usefulness 30%, legal and ethical analysis 30%, implementation plan, risks and human oversight 20%, sources, structure and editing 20%.</w:t>
      </w:r>
    </w:p>
    <w:p>
      <w:pPr>
        <w:pStyle w:val="Compact"/>
        <w:numPr>
          <w:ilvl w:val="0"/>
          <w:numId w:val="1013"/>
        </w:numPr>
      </w:pPr>
      <w:r>
        <w:t xml:space="preserve">The use of AI tools in the project is permitted provided that the student attaches a statement specifying which tools were used and to what extent. Students are responsible for the accuracy of all sources cited.</w:t>
      </w:r>
    </w:p>
    <w:p>
      <w:pPr>
        <w:pStyle w:val="FirstParagraph"/>
      </w:pPr>
      <w:r>
        <w:rPr>
          <w:b/>
          <w:bCs/>
        </w:rPr>
        <w:t xml:space="preserve">Path C: student’s own proposal.</w:t>
      </w:r>
    </w:p>
    <w:p>
      <w:pPr>
        <w:pStyle w:val="Compact"/>
        <w:numPr>
          <w:ilvl w:val="0"/>
          <w:numId w:val="1014"/>
        </w:numPr>
      </w:pPr>
      <w:r>
        <w:t xml:space="preserve">A form of work of the student’s own choosing related to the subject matter of the course (e.g. a prototype AI tool for lawyers, an analysis of a judgment or a case, a popular-science article, an educational podcast or film), submitted with a short description by 6 November 2026 and approved by the lecturer.</w:t>
      </w:r>
    </w:p>
    <w:p>
      <w:pPr>
        <w:pStyle w:val="Compact"/>
        <w:numPr>
          <w:ilvl w:val="0"/>
          <w:numId w:val="1014"/>
        </w:numPr>
      </w:pPr>
      <w:r>
        <w:t xml:space="preserve">Scope comparable to the Path B project, with a short written commentary (1–2 pages) setting out the legal basis and sources; the assessment criteria are set by the lecturer upon approval.</w:t>
      </w:r>
    </w:p>
    <w:p>
      <w:pPr>
        <w:pStyle w:val="Compact"/>
        <w:numPr>
          <w:ilvl w:val="0"/>
          <w:numId w:val="1014"/>
        </w:numPr>
      </w:pPr>
      <w:r>
        <w:t xml:space="preserve">The use of AI tools is permitted provided that a statement is attached.</w:t>
      </w:r>
    </w:p>
    <w:p>
      <w:pPr>
        <w:pStyle w:val="FirstParagraph"/>
      </w:pPr>
      <w:r>
        <w:rPr>
          <w:b/>
          <w:bCs/>
        </w:rPr>
        <w:t xml:space="preserve">Grading scale (all paths).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Grade</w:t>
            </w:r>
          </w:p>
        </w:tc>
      </w:tr>
      <w:tr>
        <w:tc>
          <w:tcPr/>
          <w:p>
            <w:pPr>
              <w:pStyle w:val="Compact"/>
            </w:pPr>
            <w:r>
              <w:t xml:space="preserve">below 60%</w:t>
            </w:r>
          </w:p>
        </w:tc>
        <w:tc>
          <w:tcPr/>
          <w:p>
            <w:pPr>
              <w:pStyle w:val="Compact"/>
            </w:pPr>
            <w:r>
              <w:t xml:space="preserve">fail (2.0)</w:t>
            </w:r>
          </w:p>
        </w:tc>
      </w:tr>
      <w:tr>
        <w:tc>
          <w:tcPr/>
          <w:p>
            <w:pPr>
              <w:pStyle w:val="Compact"/>
            </w:pPr>
            <w:r>
              <w:t xml:space="preserve">60–67%</w:t>
            </w:r>
          </w:p>
        </w:tc>
        <w:tc>
          <w:tcPr/>
          <w:p>
            <w:pPr>
              <w:pStyle w:val="Compact"/>
            </w:pPr>
            <w:r>
              <w:t xml:space="preserve">satisfactory (3.0)</w:t>
            </w:r>
          </w:p>
        </w:tc>
      </w:tr>
      <w:tr>
        <w:tc>
          <w:tcPr/>
          <w:p>
            <w:pPr>
              <w:pStyle w:val="Compact"/>
            </w:pPr>
            <w:r>
              <w:t xml:space="preserve">68–75%</w:t>
            </w:r>
          </w:p>
        </w:tc>
        <w:tc>
          <w:tcPr/>
          <w:p>
            <w:pPr>
              <w:pStyle w:val="Compact"/>
            </w:pPr>
            <w:r>
              <w:t xml:space="preserve">satisfactory plus (3.5)</w:t>
            </w:r>
          </w:p>
        </w:tc>
      </w:tr>
      <w:tr>
        <w:tc>
          <w:tcPr/>
          <w:p>
            <w:pPr>
              <w:pStyle w:val="Compact"/>
            </w:pPr>
            <w:r>
              <w:t xml:space="preserve">76–83%</w:t>
            </w:r>
          </w:p>
        </w:tc>
        <w:tc>
          <w:tcPr/>
          <w:p>
            <w:pPr>
              <w:pStyle w:val="Compact"/>
            </w:pPr>
            <w:r>
              <w:t xml:space="preserve">good (4.0)</w:t>
            </w:r>
          </w:p>
        </w:tc>
      </w:tr>
      <w:tr>
        <w:tc>
          <w:tcPr/>
          <w:p>
            <w:pPr>
              <w:pStyle w:val="Compact"/>
            </w:pPr>
            <w:r>
              <w:t xml:space="preserve">84–91%</w:t>
            </w:r>
          </w:p>
        </w:tc>
        <w:tc>
          <w:tcPr/>
          <w:p>
            <w:pPr>
              <w:pStyle w:val="Compact"/>
            </w:pPr>
            <w:r>
              <w:t xml:space="preserve">good plus (4.5)</w:t>
            </w:r>
          </w:p>
        </w:tc>
      </w:tr>
      <w:tr>
        <w:tc>
          <w:tcPr/>
          <w:p>
            <w:pPr>
              <w:pStyle w:val="Compact"/>
            </w:pPr>
            <w:r>
              <w:t xml:space="preserve">92–100%</w:t>
            </w:r>
          </w:p>
        </w:tc>
        <w:tc>
          <w:tcPr/>
          <w:p>
            <w:pPr>
              <w:pStyle w:val="Compact"/>
            </w:pPr>
            <w:r>
              <w:t xml:space="preserve">very good (5.0)</w:t>
            </w:r>
          </w:p>
        </w:tc>
      </w:tr>
    </w:tbl>
    <w:p>
      <w:pPr>
        <w:pStyle w:val="BodyText"/>
      </w:pPr>
      <w:r>
        <w:rPr>
          <w:b/>
          <w:bCs/>
        </w:rPr>
        <w:t xml:space="preserve">Participation.</w:t>
      </w:r>
      <w:r>
        <w:t xml:space="preserve"> </w:t>
      </w:r>
      <w:r>
        <w:t xml:space="preserve">Taking part in discussion, tasks with generative models and quizzes on the course website may raise the final grade by half a grade.</w:t>
      </w:r>
    </w:p>
    <w:p>
      <w:pPr>
        <w:pStyle w:val="BodyText"/>
      </w:pPr>
      <w:r>
        <w:rPr>
          <w:b/>
          <w:bCs/>
        </w:rPr>
        <w:t xml:space="preserve">Deadlines.</w:t>
      </w:r>
      <w:r>
        <w:t xml:space="preserve"> </w:t>
      </w:r>
      <w:r>
        <w:t xml:space="preserve">The test and the submission of the project (Path B) and own work (Path C) take place in the winter examination session (5–18 February 2027); the project and own work must be submitted by 18 February 2027 at the latest; resit deadline: 28 February 2027.</w:t>
      </w:r>
    </w:p>
    <w:bookmarkEnd w:id="19"/>
    <w:bookmarkStart w:id="24" w:name="reading-list"/>
    <w:p>
      <w:pPr>
        <w:pStyle w:val="Nagwek1"/>
      </w:pPr>
      <w:r>
        <w:t xml:space="preserve">Reading list</w:t>
      </w:r>
    </w:p>
    <w:bookmarkStart w:id="20" w:name="core-reading"/>
    <w:p>
      <w:pPr>
        <w:pStyle w:val="Nagwek2"/>
      </w:pPr>
      <w:r>
        <w:t xml:space="preserve">Core reading</w:t>
      </w:r>
    </w:p>
    <w:p>
      <w:pPr>
        <w:pStyle w:val="Compact"/>
        <w:numPr>
          <w:ilvl w:val="0"/>
          <w:numId w:val="1015"/>
        </w:numPr>
      </w:pPr>
      <w:r>
        <w:t xml:space="preserve">Regulation (EU) 2024/1689 of the European Parliament and of the Council of 13 June 2024 laying down harmonised rules on artificial intelligence (Artificial Intelligence Act), OJ L 2024/1689, 12.7.2024, as amended.</w:t>
      </w:r>
    </w:p>
    <w:p>
      <w:pPr>
        <w:pStyle w:val="Compact"/>
        <w:numPr>
          <w:ilvl w:val="0"/>
          <w:numId w:val="1015"/>
        </w:numPr>
      </w:pPr>
      <w:r>
        <w:rPr>
          <w:i/>
          <w:iCs/>
        </w:rPr>
        <w:t xml:space="preserve">Ustawa z dnia 3 lipca 2026 r. o systemach sztucznej inteligencji</w:t>
      </w:r>
      <w:r>
        <w:t xml:space="preserve"> </w:t>
      </w:r>
      <w:r>
        <w:t xml:space="preserve">(Act of 3 July 2026 on Artificial Intelligence Systems), Dz.U. 2026, item 1003.</w:t>
      </w:r>
    </w:p>
    <w:p>
      <w:pPr>
        <w:pStyle w:val="Compact"/>
        <w:numPr>
          <w:ilvl w:val="0"/>
          <w:numId w:val="1015"/>
        </w:numPr>
      </w:pPr>
      <w:r>
        <w:t xml:space="preserve">Crawford, Kate.</w:t>
      </w:r>
      <w:r>
        <w:t xml:space="preserve"> </w:t>
      </w:r>
      <w:r>
        <w:rPr>
          <w:i/>
          <w:iCs/>
        </w:rPr>
        <w:t xml:space="preserve">Atlas sztucznej inteligencji. Władza, pieniądze i środowisko naturalne</w:t>
      </w:r>
      <w:r>
        <w:t xml:space="preserve"> </w:t>
      </w:r>
      <w:r>
        <w:t xml:space="preserve">[Atlas of Artificial Intelligence: Power, Money and the Natural Environment]. Trans. Tadeusz Chawziuk. Kraków: Wydawnictwo Uniwersytetu Jagiellońskiego (bo.wiem series), 2024.</w:t>
      </w:r>
    </w:p>
    <w:p>
      <w:pPr>
        <w:pStyle w:val="Compact"/>
        <w:numPr>
          <w:ilvl w:val="0"/>
          <w:numId w:val="1015"/>
        </w:numPr>
      </w:pPr>
      <w:r>
        <w:t xml:space="preserve">Coeckelbergh, Mark.</w:t>
      </w:r>
      <w:r>
        <w:t xml:space="preserve"> </w:t>
      </w:r>
      <w:r>
        <w:rPr>
          <w:i/>
          <w:iCs/>
        </w:rPr>
        <w:t xml:space="preserve">AI Ethics</w:t>
      </w:r>
      <w:r>
        <w:t xml:space="preserve">. Cambridge, MA: MIT Press, 2020.</w:t>
      </w:r>
    </w:p>
    <w:p>
      <w:pPr>
        <w:pStyle w:val="Compact"/>
        <w:numPr>
          <w:ilvl w:val="0"/>
          <w:numId w:val="1015"/>
        </w:numPr>
      </w:pPr>
      <w:r>
        <w:t xml:space="preserve">Fischer, Bogdan, Adam Pązik, Marek Świerczyński (eds.).</w:t>
      </w:r>
      <w:r>
        <w:t xml:space="preserve"> </w:t>
      </w:r>
      <w:r>
        <w:rPr>
          <w:i/>
          <w:iCs/>
        </w:rPr>
        <w:t xml:space="preserve">Prawo sztucznej inteligencji i nowych technologii 3</w:t>
      </w:r>
      <w:r>
        <w:t xml:space="preserve"> </w:t>
      </w:r>
      <w:r>
        <w:t xml:space="preserve">[Law of Artificial Intelligence and New Technologies 3]. Warsaw: Wolters Kluwer, 2024.</w:t>
      </w:r>
    </w:p>
    <w:p>
      <w:pPr>
        <w:pStyle w:val="Compact"/>
        <w:numPr>
          <w:ilvl w:val="0"/>
          <w:numId w:val="1015"/>
        </w:numPr>
      </w:pPr>
      <w:r>
        <w:t xml:space="preserve">Susskind, Richard, Daniel Susskind.</w:t>
      </w:r>
      <w:r>
        <w:t xml:space="preserve"> </w:t>
      </w:r>
      <w:r>
        <w:rPr>
          <w:i/>
          <w:iCs/>
        </w:rPr>
        <w:t xml:space="preserve">Przyszłość zawodów. Jak technologia zmieni pracę ekspertów</w:t>
      </w:r>
      <w:r>
        <w:t xml:space="preserve"> </w:t>
      </w:r>
      <w:r>
        <w:t xml:space="preserve">[The Future of the Professions: How Technology Will Change the Work of Experts]. Trans. Tomasz Kunz. Warsaw: Wolters Kluwer, 2019.</w:t>
      </w:r>
    </w:p>
    <w:p>
      <w:pPr>
        <w:pStyle w:val="Compact"/>
        <w:numPr>
          <w:ilvl w:val="0"/>
          <w:numId w:val="1015"/>
        </w:numPr>
      </w:pPr>
      <w:r>
        <w:t xml:space="preserve">Dudka, Mateusz, Karol Kasprowicz, Maciej Stodółkiewicz, Bartłomiej Stolarz.</w:t>
      </w:r>
      <w:r>
        <w:t xml:space="preserve"> </w:t>
      </w:r>
      <w:r>
        <w:rPr>
          <w:i/>
          <w:iCs/>
        </w:rPr>
        <w:t xml:space="preserve">Algorytm w Todze. Postawy wobec sztucznej inteligencji wśród przedstawicieli zawodów prawniczych. Raport z pilotażowych badań empirycznych</w:t>
      </w:r>
      <w:r>
        <w:t xml:space="preserve"> </w:t>
      </w:r>
      <w:r>
        <w:t xml:space="preserve">[The Algorithm in the Robe: Attitudes towards Artificial Intelligence among Members of the Legal Professions. Report on Pilot Empirical Research]. Lublin: Wydawnictwo UMCS, 2026 (in press; interactive version on the course website).</w:t>
      </w:r>
    </w:p>
    <w:bookmarkEnd w:id="20"/>
    <w:bookmarkStart w:id="21" w:name="legal-acts-and-documents"/>
    <w:p>
      <w:pPr>
        <w:pStyle w:val="Nagwek2"/>
      </w:pPr>
      <w:r>
        <w:t xml:space="preserve">Legal acts and documents</w:t>
      </w:r>
    </w:p>
    <w:p>
      <w:pPr>
        <w:pStyle w:val="Compact"/>
        <w:numPr>
          <w:ilvl w:val="0"/>
          <w:numId w:val="1016"/>
        </w:numPr>
      </w:pPr>
      <w:r>
        <w:t xml:space="preserve">Regulation (EU) 2026/1744 of the European Parliament and of the Council of 8 July 2026 amending Regulation (EU) 2024/1689 (the so-called digital omnibus on AI) [title to be verified].</w:t>
      </w:r>
    </w:p>
    <w:p>
      <w:pPr>
        <w:pStyle w:val="Compact"/>
        <w:numPr>
          <w:ilvl w:val="0"/>
          <w:numId w:val="1016"/>
        </w:numPr>
      </w:pPr>
      <w:r>
        <w:t xml:space="preserve">Regulation (EU) 2016/679 of the European Parliament and of the Council of 27 April 2016 (General Data Protection Regulation, GDPR), OJ L 119, 4.5.2016, p. 1, as amended.</w:t>
      </w:r>
    </w:p>
    <w:p>
      <w:pPr>
        <w:pStyle w:val="Compact"/>
        <w:numPr>
          <w:ilvl w:val="0"/>
          <w:numId w:val="1016"/>
        </w:numPr>
      </w:pPr>
      <w:r>
        <w:t xml:space="preserve">Regulation (EU) 2022/2065 of the European Parliament and of the Council of 19 October 2022 (Digital Services Act, DSA), OJ L 277, 27.10.2022, p. 1.</w:t>
      </w:r>
    </w:p>
    <w:p>
      <w:pPr>
        <w:pStyle w:val="Compact"/>
        <w:numPr>
          <w:ilvl w:val="0"/>
          <w:numId w:val="1016"/>
        </w:numPr>
      </w:pPr>
      <w:r>
        <w:t xml:space="preserve">Regulation (EU) 2022/1925 of the European Parliament and of the Council of 14 September 2022 (Digital Markets Act, DMA), OJ L 265, 12.10.2022, p. 1.</w:t>
      </w:r>
    </w:p>
    <w:p>
      <w:pPr>
        <w:pStyle w:val="Compact"/>
        <w:numPr>
          <w:ilvl w:val="0"/>
          <w:numId w:val="1016"/>
        </w:numPr>
      </w:pPr>
      <w:r>
        <w:t xml:space="preserve">Directive (EU) 2019/790 of the European Parliament and of the Council of 17 April 2019 on copyright and related rights in the Digital Single Market, OJ L 130, 17.5.2019, p. 92.</w:t>
      </w:r>
    </w:p>
    <w:p>
      <w:pPr>
        <w:pStyle w:val="Compact"/>
        <w:numPr>
          <w:ilvl w:val="0"/>
          <w:numId w:val="1016"/>
        </w:numPr>
      </w:pPr>
      <w:r>
        <w:t xml:space="preserve">Directive (EU) 2024/2853 of the European Parliament and of the Council of 23 October 2024 on liability for defective products, OJ L 2024/2853, 18.11.2024.</w:t>
      </w:r>
    </w:p>
    <w:p>
      <w:pPr>
        <w:pStyle w:val="Compact"/>
        <w:numPr>
          <w:ilvl w:val="0"/>
          <w:numId w:val="1016"/>
        </w:numPr>
      </w:pPr>
      <w:r>
        <w:rPr>
          <w:i/>
          <w:iCs/>
        </w:rPr>
        <w:t xml:space="preserve">Ustawa z dnia 4 lutego 1994 r. o prawie autorskim i prawach pokrewnych</w:t>
      </w:r>
      <w:r>
        <w:t xml:space="preserve"> </w:t>
      </w:r>
      <w:r>
        <w:t xml:space="preserve">(Act of 4 February 1994 on Copyright and Related Rights) (consolidated text, as amended).</w:t>
      </w:r>
    </w:p>
    <w:p>
      <w:pPr>
        <w:pStyle w:val="Compact"/>
        <w:numPr>
          <w:ilvl w:val="0"/>
          <w:numId w:val="1016"/>
        </w:numPr>
      </w:pPr>
      <w:r>
        <w:rPr>
          <w:i/>
          <w:iCs/>
        </w:rPr>
        <w:t xml:space="preserve">Ustawa z dnia 23 kwietnia 1964 r. Kodeks cywilny</w:t>
      </w:r>
      <w:r>
        <w:t xml:space="preserve"> </w:t>
      </w:r>
      <w:r>
        <w:t xml:space="preserve">(Act of 23 April 1964 – Civil Code) (consolidated text, as amended), Articles 415, 435, 449¹ et seq.</w:t>
      </w:r>
    </w:p>
    <w:p>
      <w:pPr>
        <w:pStyle w:val="Compact"/>
        <w:numPr>
          <w:ilvl w:val="0"/>
          <w:numId w:val="1016"/>
        </w:numPr>
      </w:pPr>
      <w:r>
        <w:t xml:space="preserve">Council of Europe Framework Convention on Artificial Intelligence and Human Rights, Democracy and the Rule of Law (CETS No. 225), Vilnius, 5.9.2024.</w:t>
      </w:r>
    </w:p>
    <w:p>
      <w:pPr>
        <w:pStyle w:val="Compact"/>
        <w:numPr>
          <w:ilvl w:val="0"/>
          <w:numId w:val="1016"/>
        </w:numPr>
      </w:pPr>
      <w:r>
        <w:t xml:space="preserve">High-Level Expert Group on AI.</w:t>
      </w:r>
      <w:r>
        <w:t xml:space="preserve"> </w:t>
      </w:r>
      <w:r>
        <w:rPr>
          <w:i/>
          <w:iCs/>
        </w:rPr>
        <w:t xml:space="preserve">Wytyczne w zakresie etyki dotyczące godnej zaufania sztucznej inteligencji</w:t>
      </w:r>
      <w:r>
        <w:t xml:space="preserve"> </w:t>
      </w:r>
      <w:r>
        <w:t xml:space="preserve">[Ethics Guidelines for Trustworthy AI]. Brussels: European Commission, 2019.</w:t>
      </w:r>
    </w:p>
    <w:p>
      <w:pPr>
        <w:pStyle w:val="Compact"/>
        <w:numPr>
          <w:ilvl w:val="0"/>
          <w:numId w:val="1016"/>
        </w:numPr>
      </w:pPr>
      <w:r>
        <w:t xml:space="preserve">UNESCO.</w:t>
      </w:r>
      <w:r>
        <w:t xml:space="preserve"> </w:t>
      </w:r>
      <w:r>
        <w:rPr>
          <w:i/>
          <w:iCs/>
        </w:rPr>
        <w:t xml:space="preserve">Recommendation on the Ethics of Artificial Intelligence</w:t>
      </w:r>
      <w:r>
        <w:t xml:space="preserve">. Paris, 2021.</w:t>
      </w:r>
    </w:p>
    <w:bookmarkEnd w:id="21"/>
    <w:bookmarkStart w:id="22" w:name="case-law"/>
    <w:p>
      <w:pPr>
        <w:pStyle w:val="Nagwek2"/>
      </w:pPr>
      <w:r>
        <w:t xml:space="preserve">Case law</w:t>
      </w:r>
    </w:p>
    <w:p>
      <w:pPr>
        <w:pStyle w:val="Compact"/>
        <w:numPr>
          <w:ilvl w:val="0"/>
          <w:numId w:val="1017"/>
        </w:numPr>
      </w:pPr>
      <w:r>
        <w:t xml:space="preserve">Judgment of the CJEU of 7 December 2023, C-634/21,</w:t>
      </w:r>
      <w:r>
        <w:t xml:space="preserve"> </w:t>
      </w:r>
      <w:r>
        <w:rPr>
          <w:i/>
          <w:iCs/>
        </w:rPr>
        <w:t xml:space="preserve">SCHUFA Holding (Scoring)</w:t>
      </w:r>
      <w:r>
        <w:t xml:space="preserve">.</w:t>
      </w:r>
    </w:p>
    <w:p>
      <w:pPr>
        <w:pStyle w:val="Compact"/>
        <w:numPr>
          <w:ilvl w:val="0"/>
          <w:numId w:val="1017"/>
        </w:numPr>
      </w:pPr>
      <w:r>
        <w:t xml:space="preserve">Judgment of the CJEU of 27 February 2025, C-203/22,</w:t>
      </w:r>
      <w:r>
        <w:t xml:space="preserve"> </w:t>
      </w:r>
      <w:r>
        <w:rPr>
          <w:i/>
          <w:iCs/>
        </w:rPr>
        <w:t xml:space="preserve">Dun &amp; Bradstreet Austria</w:t>
      </w:r>
      <w:r>
        <w:t xml:space="preserve">.</w:t>
      </w:r>
    </w:p>
    <w:p>
      <w:pPr>
        <w:pStyle w:val="Compact"/>
        <w:numPr>
          <w:ilvl w:val="0"/>
          <w:numId w:val="1017"/>
        </w:numPr>
      </w:pPr>
      <w:r>
        <w:t xml:space="preserve">Judgment of the District Court of The Hague of 5 February 2020 in the SyRI case, ECLI:NL:RBDHA:2020:865.</w:t>
      </w:r>
    </w:p>
    <w:p>
      <w:pPr>
        <w:pStyle w:val="Compact"/>
        <w:numPr>
          <w:ilvl w:val="0"/>
          <w:numId w:val="1017"/>
        </w:numPr>
      </w:pPr>
      <w:r>
        <w:rPr>
          <w:i/>
          <w:iCs/>
        </w:rPr>
        <w:t xml:space="preserve">State v. Loomis</w:t>
      </w:r>
      <w:r>
        <w:t xml:space="preserve">, 881 N.W.2d 749 (Wis. 2016).</w:t>
      </w:r>
    </w:p>
    <w:p>
      <w:pPr>
        <w:pStyle w:val="Compact"/>
        <w:numPr>
          <w:ilvl w:val="0"/>
          <w:numId w:val="1017"/>
        </w:numPr>
      </w:pPr>
      <w:r>
        <w:rPr>
          <w:i/>
          <w:iCs/>
        </w:rPr>
        <w:t xml:space="preserve">Mata v. Avianca, Inc.</w:t>
      </w:r>
      <w:r>
        <w:t xml:space="preserve">, No. 22-cv-1461 (S.D.N.Y. 22 June 2023).</w:t>
      </w:r>
    </w:p>
    <w:p>
      <w:pPr>
        <w:pStyle w:val="Compact"/>
        <w:numPr>
          <w:ilvl w:val="0"/>
          <w:numId w:val="1017"/>
        </w:numPr>
      </w:pPr>
      <w:r>
        <w:rPr>
          <w:i/>
          <w:iCs/>
        </w:rPr>
        <w:t xml:space="preserve">Thaler v. Perlmutter</w:t>
      </w:r>
      <w:r>
        <w:t xml:space="preserve">, No. 23-5233 (D.C. Cir. 18 March 2025).</w:t>
      </w:r>
    </w:p>
    <w:p>
      <w:pPr>
        <w:pStyle w:val="Compact"/>
        <w:numPr>
          <w:ilvl w:val="0"/>
          <w:numId w:val="1017"/>
        </w:numPr>
      </w:pPr>
      <w:r>
        <w:rPr>
          <w:i/>
          <w:iCs/>
        </w:rPr>
        <w:t xml:space="preserve">Getty Images v. Stability AI</w:t>
      </w:r>
      <w:r>
        <w:t xml:space="preserve">, judgment of the High Court of England and Wales (Chancery Division) of 4 November 2025.</w:t>
      </w:r>
    </w:p>
    <w:p>
      <w:pPr>
        <w:pStyle w:val="Compact"/>
        <w:numPr>
          <w:ilvl w:val="0"/>
          <w:numId w:val="1017"/>
        </w:numPr>
      </w:pPr>
      <w:r>
        <w:t xml:space="preserve">Judgment of the Landgericht München I (Regional Court Munich I) of 11 November 2025, 42 O 14139/24,</w:t>
      </w:r>
      <w:r>
        <w:t xml:space="preserve"> </w:t>
      </w:r>
      <w:r>
        <w:rPr>
          <w:i/>
          <w:iCs/>
        </w:rPr>
        <w:t xml:space="preserve">GEMA v. OpenAI</w:t>
      </w:r>
      <w:r>
        <w:t xml:space="preserve">.</w:t>
      </w:r>
    </w:p>
    <w:p>
      <w:pPr>
        <w:pStyle w:val="Compact"/>
        <w:numPr>
          <w:ilvl w:val="0"/>
          <w:numId w:val="1017"/>
        </w:numPr>
      </w:pPr>
      <w:r>
        <w:rPr>
          <w:i/>
          <w:iCs/>
        </w:rPr>
        <w:t xml:space="preserve">Bartz v. Anthropic PBC</w:t>
      </w:r>
      <w:r>
        <w:t xml:space="preserve">, No. 3:24-cv-05417 (N.D. Cal. 23 June 2025).</w:t>
      </w:r>
    </w:p>
    <w:p>
      <w:pPr>
        <w:pStyle w:val="Compact"/>
        <w:numPr>
          <w:ilvl w:val="0"/>
          <w:numId w:val="1017"/>
        </w:numPr>
      </w:pPr>
      <w:r>
        <w:rPr>
          <w:i/>
          <w:iCs/>
        </w:rPr>
        <w:t xml:space="preserve">The New York Times Co. v. Microsoft Corp. and OpenAI</w:t>
      </w:r>
      <w:r>
        <w:t xml:space="preserve">, No. 1:23-cv-11195 (S.D.N.Y., pending).</w:t>
      </w:r>
    </w:p>
    <w:p>
      <w:pPr>
        <w:pStyle w:val="Compact"/>
        <w:numPr>
          <w:ilvl w:val="0"/>
          <w:numId w:val="1017"/>
        </w:numPr>
      </w:pPr>
      <w:r>
        <w:t xml:space="preserve">Judgment of the Regional Court in Warsaw (Sąd Okręgowy w Warszawie) of 13 March 2024, IV C 608/19,</w:t>
      </w:r>
      <w:r>
        <w:t xml:space="preserve"> </w:t>
      </w:r>
      <w:r>
        <w:rPr>
          <w:i/>
          <w:iCs/>
        </w:rPr>
        <w:t xml:space="preserve">Społeczna Inicjatywa Narkopolityki przeciwko Meta Platforms Ireland Ltd.</w:t>
      </w:r>
      <w:r>
        <w:t xml:space="preserve"> </w:t>
      </w:r>
      <w:r>
        <w:t xml:space="preserve">[Civil Society Drug Policy Initiative v Meta Platforms Ireland Ltd.] (not final).</w:t>
      </w:r>
    </w:p>
    <w:bookmarkEnd w:id="22"/>
    <w:bookmarkStart w:id="23" w:name="supplementary-reading"/>
    <w:p>
      <w:pPr>
        <w:pStyle w:val="Nagwek2"/>
      </w:pPr>
      <w:r>
        <w:t xml:space="preserve">Supplementary reading</w:t>
      </w:r>
    </w:p>
    <w:p>
      <w:pPr>
        <w:pStyle w:val="Compact"/>
        <w:numPr>
          <w:ilvl w:val="0"/>
          <w:numId w:val="1018"/>
        </w:numPr>
      </w:pPr>
      <w:r>
        <w:t xml:space="preserve">Aidid, Abdi, Benjamin Alarie.</w:t>
      </w:r>
      <w:r>
        <w:t xml:space="preserve"> </w:t>
      </w:r>
      <w:r>
        <w:rPr>
          <w:i/>
          <w:iCs/>
        </w:rPr>
        <w:t xml:space="preserve">The Legal Singularity: How Artificial Intelligence Can Make Law Radically Better</w:t>
      </w:r>
      <w:r>
        <w:t xml:space="preserve">. Toronto: University of Toronto Press, 2023.</w:t>
      </w:r>
    </w:p>
    <w:p>
      <w:pPr>
        <w:pStyle w:val="Compact"/>
        <w:numPr>
          <w:ilvl w:val="0"/>
          <w:numId w:val="1018"/>
        </w:numPr>
      </w:pPr>
      <w:r>
        <w:t xml:space="preserve">Andreessen, Marc. ‘The Techno-Optimist Manifesto’, https://a16z.com/the-techno-optimist-manifesto/ (accessed 19 October 2026).</w:t>
      </w:r>
    </w:p>
    <w:p>
      <w:pPr>
        <w:pStyle w:val="Compact"/>
        <w:numPr>
          <w:ilvl w:val="0"/>
          <w:numId w:val="1018"/>
        </w:numPr>
      </w:pPr>
      <w:r>
        <w:t xml:space="preserve">Andreessen, Marc. ‘Why AI Will Save the World’, https://pmarca.substack.com/p/why-ai-will-save-the-world (accessed 19 October 2026).</w:t>
      </w:r>
    </w:p>
    <w:p>
      <w:pPr>
        <w:pStyle w:val="Compact"/>
        <w:numPr>
          <w:ilvl w:val="0"/>
          <w:numId w:val="1018"/>
        </w:numPr>
      </w:pPr>
      <w:r>
        <w:t xml:space="preserve">Ashley, Kevin D.</w:t>
      </w:r>
      <w:r>
        <w:t xml:space="preserve"> </w:t>
      </w:r>
      <w:r>
        <w:rPr>
          <w:i/>
          <w:iCs/>
        </w:rPr>
        <w:t xml:space="preserve">Artificial Intelligence and Legal Analytics: New Tools for Law Practice in the Digital Age</w:t>
      </w:r>
      <w:r>
        <w:t xml:space="preserve">. Cambridge: Cambridge University Press, 2017.</w:t>
      </w:r>
    </w:p>
    <w:p>
      <w:pPr>
        <w:pStyle w:val="Compact"/>
        <w:numPr>
          <w:ilvl w:val="0"/>
          <w:numId w:val="1018"/>
        </w:numPr>
      </w:pPr>
      <w:r>
        <w:t xml:space="preserve">Bostrom, Nick.</w:t>
      </w:r>
      <w:r>
        <w:t xml:space="preserve"> </w:t>
      </w:r>
      <w:r>
        <w:rPr>
          <w:i/>
          <w:iCs/>
        </w:rPr>
        <w:t xml:space="preserve">Superinteligencja. Scenariusze, strategie, zagrożenia</w:t>
      </w:r>
      <w:r>
        <w:t xml:space="preserve"> </w:t>
      </w:r>
      <w:r>
        <w:t xml:space="preserve">[Superintelligence: Scenarios, Strategies, Threats]. Trans. Dorota Konowrocka-Sawa. Gliwice: Helion, 2016.</w:t>
      </w:r>
    </w:p>
    <w:p>
      <w:pPr>
        <w:pStyle w:val="Compact"/>
        <w:numPr>
          <w:ilvl w:val="0"/>
          <w:numId w:val="1018"/>
        </w:numPr>
      </w:pPr>
      <w:r>
        <w:t xml:space="preserve">Bostrom, Nick.</w:t>
      </w:r>
      <w:r>
        <w:t xml:space="preserve"> </w:t>
      </w:r>
      <w:r>
        <w:rPr>
          <w:i/>
          <w:iCs/>
        </w:rPr>
        <w:t xml:space="preserve">Deep Utopia: Life and Meaning in a Solved World</w:t>
      </w:r>
      <w:r>
        <w:t xml:space="preserve">. Washington, DC: Ideapress Publishing, 2024.</w:t>
      </w:r>
    </w:p>
    <w:p>
      <w:pPr>
        <w:pStyle w:val="Compact"/>
        <w:numPr>
          <w:ilvl w:val="0"/>
          <w:numId w:val="1018"/>
        </w:numPr>
      </w:pPr>
      <w:r>
        <w:t xml:space="preserve">Coeckelbergh, Mark.</w:t>
      </w:r>
      <w:r>
        <w:t xml:space="preserve"> </w:t>
      </w:r>
      <w:r>
        <w:rPr>
          <w:i/>
          <w:iCs/>
        </w:rPr>
        <w:t xml:space="preserve">The Political Philosophy of AI: An Introduction</w:t>
      </w:r>
      <w:r>
        <w:t xml:space="preserve">. Cambridge: Polity Press, 2022.</w:t>
      </w:r>
    </w:p>
    <w:p>
      <w:pPr>
        <w:pStyle w:val="Compact"/>
        <w:numPr>
          <w:ilvl w:val="0"/>
          <w:numId w:val="1018"/>
        </w:numPr>
      </w:pPr>
      <w:r>
        <w:t xml:space="preserve">Dell’Acqua, Fabrizio, Edward McFowland III, Ethan R. Mollick, Hila Lifshitz-Assaf, Katherine Kellogg, Saran Rajendran, Lisa Krayer, François Candelon, Karim R. Lakhani. ‘Navigating the Jagged Technological Frontier: Field Experimental Evidence of the Effects of AI on Knowledge Worker Productivity and Quality’. Harvard Business School Technology &amp; Operations Mgt. Unit Working Paper 24-013 (2023), https://ssrn.com/abstract=4573321.</w:t>
      </w:r>
    </w:p>
    <w:p>
      <w:pPr>
        <w:pStyle w:val="Compact"/>
        <w:numPr>
          <w:ilvl w:val="0"/>
          <w:numId w:val="1018"/>
        </w:numPr>
      </w:pPr>
      <w:r>
        <w:t xml:space="preserve">El, Batu, James Zou. ‘Moloch’s Bargain: Emergent Misalignment When LLMs Compete for Audiences’. arXiv:2510.06105 (2025).</w:t>
      </w:r>
    </w:p>
    <w:p>
      <w:pPr>
        <w:pStyle w:val="Compact"/>
        <w:numPr>
          <w:ilvl w:val="0"/>
          <w:numId w:val="1018"/>
        </w:numPr>
      </w:pPr>
      <w:r>
        <w:t xml:space="preserve">Fisher, Max.</w:t>
      </w:r>
      <w:r>
        <w:t xml:space="preserve"> </w:t>
      </w:r>
      <w:r>
        <w:rPr>
          <w:i/>
          <w:iCs/>
        </w:rPr>
        <w:t xml:space="preserve">W trybach chaosu. Jak media społecznościowe przeprogramowały nasze umysły i nasz świat</w:t>
      </w:r>
      <w:r>
        <w:t xml:space="preserve"> </w:t>
      </w:r>
      <w:r>
        <w:t xml:space="preserve">[In the Gears of Chaos: How Social Media Reprogrammed Our Minds and Our World]. Trans. Mateusz Borowski. Kraków: Szczeliny, 2023.</w:t>
      </w:r>
    </w:p>
    <w:p>
      <w:pPr>
        <w:pStyle w:val="Compact"/>
        <w:numPr>
          <w:ilvl w:val="0"/>
          <w:numId w:val="1018"/>
        </w:numPr>
      </w:pPr>
      <w:r>
        <w:t xml:space="preserve">Grace, Katja, Harlan Stewart, Julia Fabienne Sandkühler, Stephen Thomas, Ben Weinstein-Raun, Jan Brauner, Richard C. Korzekwa. ‘Thousands of AI Authors on the Future of AI’. arXiv:2401.02843 (2024).</w:t>
      </w:r>
    </w:p>
    <w:p>
      <w:pPr>
        <w:pStyle w:val="Compact"/>
        <w:numPr>
          <w:ilvl w:val="0"/>
          <w:numId w:val="1018"/>
        </w:numPr>
      </w:pPr>
      <w:r>
        <w:t xml:space="preserve">Harris, Sam.</w:t>
      </w:r>
      <w:r>
        <w:t xml:space="preserve"> </w:t>
      </w:r>
      <w:r>
        <w:rPr>
          <w:i/>
          <w:iCs/>
        </w:rPr>
        <w:t xml:space="preserve">Nadając sens. Rozmowy o świadomości, moralności i przyszłości</w:t>
      </w:r>
      <w:r>
        <w:t xml:space="preserve"> </w:t>
      </w:r>
      <w:r>
        <w:t xml:space="preserve">[Making Sense: Conversations on Consciousness, Morality and the Future]. Trans. Aleksandra Paszkowska. Poznań: Filia, 2023.</w:t>
      </w:r>
    </w:p>
    <w:p>
      <w:pPr>
        <w:pStyle w:val="Compact"/>
        <w:numPr>
          <w:ilvl w:val="0"/>
          <w:numId w:val="1018"/>
        </w:numPr>
      </w:pPr>
      <w:r>
        <w:t xml:space="preserve">Hoffman, Reid.</w:t>
      </w:r>
      <w:r>
        <w:t xml:space="preserve"> </w:t>
      </w:r>
      <w:r>
        <w:rPr>
          <w:i/>
          <w:iCs/>
        </w:rPr>
        <w:t xml:space="preserve">Rozmowa z chatem GPT o przyszłości ludzi i świata</w:t>
      </w:r>
      <w:r>
        <w:t xml:space="preserve"> </w:t>
      </w:r>
      <w:r>
        <w:t xml:space="preserve">[A Conversation with ChatGPT about the Future of People and the World]. Trans. Katarzyna Mironowicz. Warsaw: Prześwity, 2023.</w:t>
      </w:r>
    </w:p>
    <w:p>
      <w:pPr>
        <w:pStyle w:val="Compact"/>
        <w:numPr>
          <w:ilvl w:val="0"/>
          <w:numId w:val="1018"/>
        </w:numPr>
      </w:pPr>
      <w:r>
        <w:t xml:space="preserve">Horoch, Andrzej.</w:t>
      </w:r>
      <w:r>
        <w:t xml:space="preserve"> </w:t>
      </w:r>
      <w:r>
        <w:rPr>
          <w:i/>
          <w:iCs/>
        </w:rPr>
        <w:t xml:space="preserve">Kierunek metaverse. Jak wprowadzić technologie VR, AR i AI w twojej firmie</w:t>
      </w:r>
      <w:r>
        <w:t xml:space="preserve"> </w:t>
      </w:r>
      <w:r>
        <w:t xml:space="preserve">[Destination Metaverse: How to Introduce VR, AR and AI Technologies in Your Company]. Warsaw: MT Biznes, 2023.</w:t>
      </w:r>
    </w:p>
    <w:p>
      <w:pPr>
        <w:pStyle w:val="Compact"/>
        <w:numPr>
          <w:ilvl w:val="0"/>
          <w:numId w:val="1018"/>
        </w:numPr>
      </w:pPr>
      <w:r>
        <w:t xml:space="preserve">International Energy Agency.</w:t>
      </w:r>
      <w:r>
        <w:t xml:space="preserve"> </w:t>
      </w:r>
      <w:r>
        <w:rPr>
          <w:i/>
          <w:iCs/>
        </w:rPr>
        <w:t xml:space="preserve">Energy and AI</w:t>
      </w:r>
      <w:r>
        <w:t xml:space="preserve">. Paris: IEA, 2025.</w:t>
      </w:r>
    </w:p>
    <w:p>
      <w:pPr>
        <w:pStyle w:val="Compact"/>
        <w:numPr>
          <w:ilvl w:val="0"/>
          <w:numId w:val="1018"/>
        </w:numPr>
      </w:pPr>
      <w:r>
        <w:t xml:space="preserve">Kalai, Adam Tauman, Ofir Nachum, Santosh S. Vempala, Edwin Zhang. ‘Why Language Models Hallucinate’. arXiv:2509.04664 (2025).</w:t>
      </w:r>
    </w:p>
    <w:p>
      <w:pPr>
        <w:pStyle w:val="Compact"/>
        <w:numPr>
          <w:ilvl w:val="0"/>
          <w:numId w:val="1018"/>
        </w:numPr>
      </w:pPr>
      <w:r>
        <w:t xml:space="preserve">Kara, Siddharth.</w:t>
      </w:r>
      <w:r>
        <w:t xml:space="preserve"> </w:t>
      </w:r>
      <w:r>
        <w:rPr>
          <w:i/>
          <w:iCs/>
        </w:rPr>
        <w:t xml:space="preserve">Krwawy kobalt. O tym, jak krew Kongijczyków zasila naszą codzienność</w:t>
      </w:r>
      <w:r>
        <w:t xml:space="preserve"> </w:t>
      </w:r>
      <w:r>
        <w:t xml:space="preserve">[Bloody Cobalt: How the Blood of the Congolese Powers Our Everyday Lives]. Trans. Hanna Pustuła-Lewicka. Warsaw: W.A.B., 2024.</w:t>
      </w:r>
    </w:p>
    <w:p>
      <w:pPr>
        <w:pStyle w:val="Compact"/>
        <w:numPr>
          <w:ilvl w:val="0"/>
          <w:numId w:val="1018"/>
        </w:numPr>
      </w:pPr>
      <w:r>
        <w:t xml:space="preserve">Kasprowicz, Karol, Hanna Busz.</w:t>
      </w:r>
      <w:r>
        <w:t xml:space="preserve"> </w:t>
      </w:r>
      <w:r>
        <w:rPr>
          <w:i/>
          <w:iCs/>
        </w:rPr>
        <w:t xml:space="preserve">Algorytm w Ławce Szkolnej. Postawy uczniów i studentów wobec AI</w:t>
      </w:r>
      <w:r>
        <w:t xml:space="preserve"> </w:t>
      </w:r>
      <w:r>
        <w:t xml:space="preserve">[The Algorithm at the School Desk: Attitudes of School Pupils and Students towards AI]. Pilot study report. Lublin, 2026 (interactive version on the course website).</w:t>
      </w:r>
    </w:p>
    <w:p>
      <w:pPr>
        <w:pStyle w:val="Compact"/>
        <w:numPr>
          <w:ilvl w:val="0"/>
          <w:numId w:val="1018"/>
        </w:numPr>
      </w:pPr>
      <w:r>
        <w:t xml:space="preserve">Kokotajlo, Daniel, Scott Alexander, Thomas Larsen, Eli Lifland, Romeo Dean.</w:t>
      </w:r>
      <w:r>
        <w:t xml:space="preserve"> </w:t>
      </w:r>
      <w:r>
        <w:rPr>
          <w:i/>
          <w:iCs/>
        </w:rPr>
        <w:t xml:space="preserve">AI 2027</w:t>
      </w:r>
      <w:r>
        <w:t xml:space="preserve">, https://ai-2027.com (2025, accessed 19 October 2026).</w:t>
      </w:r>
    </w:p>
    <w:p>
      <w:pPr>
        <w:pStyle w:val="Compact"/>
        <w:numPr>
          <w:ilvl w:val="0"/>
          <w:numId w:val="1018"/>
        </w:numPr>
      </w:pPr>
      <w:r>
        <w:t xml:space="preserve">European Commission.</w:t>
      </w:r>
      <w:r>
        <w:t xml:space="preserve"> </w:t>
      </w:r>
      <w:r>
        <w:rPr>
          <w:i/>
          <w:iCs/>
        </w:rPr>
        <w:t xml:space="preserve">Inicjatywa UE w sprawie technologii Web 4.0 i światów wirtualnych</w:t>
      </w:r>
      <w:r>
        <w:t xml:space="preserve"> </w:t>
      </w:r>
      <w:r>
        <w:t xml:space="preserve">[An EU initiative on Web 4.0 and virtual worlds] [title to be verified], COM(2023) 442 final, Strasbourg, 11.7.2023.</w:t>
      </w:r>
    </w:p>
    <w:p>
      <w:pPr>
        <w:pStyle w:val="Compact"/>
        <w:numPr>
          <w:ilvl w:val="0"/>
          <w:numId w:val="1018"/>
        </w:numPr>
      </w:pPr>
      <w:r>
        <w:t xml:space="preserve">Kranzberg, Melvin. ‘Technology and History: “Kranzberg’s Laws”’.</w:t>
      </w:r>
      <w:r>
        <w:t xml:space="preserve"> </w:t>
      </w:r>
      <w:r>
        <w:rPr>
          <w:i/>
          <w:iCs/>
        </w:rPr>
        <w:t xml:space="preserve">Technology and Culture</w:t>
      </w:r>
      <w:r>
        <w:t xml:space="preserve"> </w:t>
      </w:r>
      <w:r>
        <w:t xml:space="preserve">27, no. 3 (1986): 544–560.</w:t>
      </w:r>
    </w:p>
    <w:p>
      <w:pPr>
        <w:pStyle w:val="Compact"/>
        <w:numPr>
          <w:ilvl w:val="0"/>
          <w:numId w:val="1018"/>
        </w:numPr>
      </w:pPr>
      <w:r>
        <w:t xml:space="preserve">Kurp, Feliks.</w:t>
      </w:r>
      <w:r>
        <w:t xml:space="preserve"> </w:t>
      </w:r>
      <w:r>
        <w:rPr>
          <w:i/>
          <w:iCs/>
        </w:rPr>
        <w:t xml:space="preserve">Sztuczna inteligencja od podstaw</w:t>
      </w:r>
      <w:r>
        <w:t xml:space="preserve"> </w:t>
      </w:r>
      <w:r>
        <w:t xml:space="preserve">[Artificial Intelligence from the Basics]. Gliwice: Helion, 2023.</w:t>
      </w:r>
    </w:p>
    <w:p>
      <w:pPr>
        <w:pStyle w:val="Compact"/>
        <w:numPr>
          <w:ilvl w:val="0"/>
          <w:numId w:val="1018"/>
        </w:numPr>
      </w:pPr>
      <w:r>
        <w:t xml:space="preserve">Lee, Kai-Fu, Chen Qiufan.</w:t>
      </w:r>
      <w:r>
        <w:t xml:space="preserve"> </w:t>
      </w:r>
      <w:r>
        <w:rPr>
          <w:i/>
          <w:iCs/>
        </w:rPr>
        <w:t xml:space="preserve">AI 2041: Ten Visions for Our Future</w:t>
      </w:r>
      <w:r>
        <w:t xml:space="preserve">. New York: Currency, 2021.</w:t>
      </w:r>
    </w:p>
    <w:p>
      <w:pPr>
        <w:pStyle w:val="Compact"/>
        <w:numPr>
          <w:ilvl w:val="0"/>
          <w:numId w:val="1018"/>
        </w:numPr>
      </w:pPr>
      <w:r>
        <w:t xml:space="preserve">Lem, Stanisław.</w:t>
      </w:r>
      <w:r>
        <w:t xml:space="preserve"> </w:t>
      </w:r>
      <w:r>
        <w:rPr>
          <w:i/>
          <w:iCs/>
        </w:rPr>
        <w:t xml:space="preserve">Summa technologiae</w:t>
      </w:r>
      <w:r>
        <w:t xml:space="preserve">. Kraków: Wydawnictwo Literackie, 2020.</w:t>
      </w:r>
    </w:p>
    <w:p>
      <w:pPr>
        <w:pStyle w:val="Compact"/>
        <w:numPr>
          <w:ilvl w:val="0"/>
          <w:numId w:val="1018"/>
        </w:numPr>
      </w:pPr>
      <w:r>
        <w:t xml:space="preserve">Le Roy Ladurie, Emmanuel. ‘La fin des érudits’ [The End of the Scholars], https://histoirebnf.hypotheses.org/1505 (accessed 19 October 2026).</w:t>
      </w:r>
    </w:p>
    <w:p>
      <w:pPr>
        <w:pStyle w:val="Compact"/>
        <w:numPr>
          <w:ilvl w:val="0"/>
          <w:numId w:val="1018"/>
        </w:numPr>
      </w:pPr>
      <w:r>
        <w:t xml:space="preserve">Li, Fei-Fei.</w:t>
      </w:r>
      <w:r>
        <w:t xml:space="preserve"> </w:t>
      </w:r>
      <w:r>
        <w:rPr>
          <w:i/>
          <w:iCs/>
        </w:rPr>
        <w:t xml:space="preserve">The Worlds I See: Curiosity, Exploration, and Discovery at the Dawn of AI</w:t>
      </w:r>
      <w:r>
        <w:t xml:space="preserve">. New York: Flatiron Books, 2023.</w:t>
      </w:r>
    </w:p>
    <w:p>
      <w:pPr>
        <w:pStyle w:val="Compact"/>
        <w:numPr>
          <w:ilvl w:val="0"/>
          <w:numId w:val="1018"/>
        </w:numPr>
      </w:pPr>
      <w:r>
        <w:t xml:space="preserve">Li, Pengfei, Jianyi Yang, Mohammad A. Islam, Shaolei Ren. ‘Making AI Less “Thirsty”: Uncovering and Addressing the Secret Water Footprint of AI Models’. arXiv:2304.03271 (2023).</w:t>
      </w:r>
    </w:p>
    <w:p>
      <w:pPr>
        <w:pStyle w:val="Compact"/>
        <w:numPr>
          <w:ilvl w:val="0"/>
          <w:numId w:val="1018"/>
        </w:numPr>
      </w:pPr>
      <w:r>
        <w:t xml:space="preserve">MacAskill, William.</w:t>
      </w:r>
      <w:r>
        <w:t xml:space="preserve"> </w:t>
      </w:r>
      <w:r>
        <w:rPr>
          <w:i/>
          <w:iCs/>
        </w:rPr>
        <w:t xml:space="preserve">What We Owe the Future</w:t>
      </w:r>
      <w:r>
        <w:t xml:space="preserve">. New York: Basic Books, 2022.</w:t>
      </w:r>
    </w:p>
    <w:p>
      <w:pPr>
        <w:pStyle w:val="Compact"/>
        <w:numPr>
          <w:ilvl w:val="0"/>
          <w:numId w:val="1018"/>
        </w:numPr>
      </w:pPr>
      <w:r>
        <w:t xml:space="preserve">Madary, Michael, Thomas K. Metzinger. ‘Real Virtuality: A Code of Ethical Conduct. Recommendations for Good Scientific Practice and the Consumers of VR-Technology’.</w:t>
      </w:r>
      <w:r>
        <w:t xml:space="preserve"> </w:t>
      </w:r>
      <w:r>
        <w:rPr>
          <w:i/>
          <w:iCs/>
        </w:rPr>
        <w:t xml:space="preserve">Frontiers in Robotics and AI</w:t>
      </w:r>
      <w:r>
        <w:t xml:space="preserve"> </w:t>
      </w:r>
      <w:r>
        <w:t xml:space="preserve">3 (2016): 3.</w:t>
      </w:r>
    </w:p>
    <w:p>
      <w:pPr>
        <w:pStyle w:val="Compact"/>
        <w:numPr>
          <w:ilvl w:val="0"/>
          <w:numId w:val="1018"/>
        </w:numPr>
      </w:pPr>
      <w:r>
        <w:t xml:space="preserve">Mallory, Fintan. ‘Wittgenstein, the Other, and Large Language Models’.</w:t>
      </w:r>
      <w:r>
        <w:t xml:space="preserve"> </w:t>
      </w:r>
      <w:r>
        <w:rPr>
          <w:i/>
          <w:iCs/>
        </w:rPr>
        <w:t xml:space="preserve">Filosofisk Supplement</w:t>
      </w:r>
      <w:r>
        <w:t xml:space="preserve"> </w:t>
      </w:r>
      <w:r>
        <w:t xml:space="preserve">2, no. 3 (2023): 79–87.</w:t>
      </w:r>
    </w:p>
    <w:p>
      <w:pPr>
        <w:pStyle w:val="Compact"/>
        <w:numPr>
          <w:ilvl w:val="0"/>
          <w:numId w:val="1018"/>
        </w:numPr>
      </w:pPr>
      <w:r>
        <w:t xml:space="preserve">Miller, Chris.</w:t>
      </w:r>
      <w:r>
        <w:t xml:space="preserve"> </w:t>
      </w:r>
      <w:r>
        <w:rPr>
          <w:i/>
          <w:iCs/>
        </w:rPr>
        <w:t xml:space="preserve">Wojna o czipy. Jak USA i Chiny walczą o technologiczną dominację nad światem</w:t>
      </w:r>
      <w:r>
        <w:t xml:space="preserve"> </w:t>
      </w:r>
      <w:r>
        <w:t xml:space="preserve">[The War for Chips: How the USA and China Are Fighting for Technological Dominance over the World]. Trans. Aleksandra Samson-Banasik, Michał Głatki. Warsaw: Prześwity, 2023.</w:t>
      </w:r>
    </w:p>
    <w:p>
      <w:pPr>
        <w:pStyle w:val="Compact"/>
        <w:numPr>
          <w:ilvl w:val="0"/>
          <w:numId w:val="1018"/>
        </w:numPr>
      </w:pPr>
      <w:r>
        <w:t xml:space="preserve">Mollick, Ethan.</w:t>
      </w:r>
      <w:r>
        <w:t xml:space="preserve"> </w:t>
      </w:r>
      <w:r>
        <w:rPr>
          <w:i/>
          <w:iCs/>
        </w:rPr>
        <w:t xml:space="preserve">Co-Intelligence: Living and Working with AI</w:t>
      </w:r>
      <w:r>
        <w:t xml:space="preserve">. New York: Portfolio, 2024.</w:t>
      </w:r>
    </w:p>
    <w:p>
      <w:pPr>
        <w:pStyle w:val="Compact"/>
        <w:numPr>
          <w:ilvl w:val="0"/>
          <w:numId w:val="1018"/>
        </w:numPr>
      </w:pPr>
      <w:r>
        <w:t xml:space="preserve">Mollick, Ethan. ‘The Future of Education in a World of AI’, https://www.oneusefulthing.org/p/the-future-of-education-in-a-world (accessed 19 October 2026).</w:t>
      </w:r>
    </w:p>
    <w:p>
      <w:pPr>
        <w:pStyle w:val="Compact"/>
        <w:numPr>
          <w:ilvl w:val="0"/>
          <w:numId w:val="1018"/>
        </w:numPr>
      </w:pPr>
      <w:r>
        <w:t xml:space="preserve">Mumford, Lewis.</w:t>
      </w:r>
      <w:r>
        <w:t xml:space="preserve"> </w:t>
      </w:r>
      <w:r>
        <w:rPr>
          <w:i/>
          <w:iCs/>
        </w:rPr>
        <w:t xml:space="preserve">Technika a cywilizacja. Historia rozwoju maszyny i jej wpływu na cywilizację</w:t>
      </w:r>
      <w:r>
        <w:t xml:space="preserve"> </w:t>
      </w:r>
      <w:r>
        <w:t xml:space="preserve">[Technics and Civilisation: A History of the Development of the Machine and Its Impact on Civilisation]. Trans. Ewa Danecka. Warsaw: PWN, 1966.</w:t>
      </w:r>
    </w:p>
    <w:p>
      <w:pPr>
        <w:pStyle w:val="Compact"/>
        <w:numPr>
          <w:ilvl w:val="0"/>
          <w:numId w:val="1018"/>
        </w:numPr>
      </w:pPr>
      <w:r>
        <w:t xml:space="preserve">Narayanan, Arvind, Sayash Kapoor.</w:t>
      </w:r>
      <w:r>
        <w:t xml:space="preserve"> </w:t>
      </w:r>
      <w:r>
        <w:rPr>
          <w:i/>
          <w:iCs/>
        </w:rPr>
        <w:t xml:space="preserve">AI Snake Oil: What Artificial Intelligence Can Do, What It Can’t, and How to Tell the Difference</w:t>
      </w:r>
      <w:r>
        <w:t xml:space="preserve">. Princeton: Princeton University Press, 2024.</w:t>
      </w:r>
    </w:p>
    <w:p>
      <w:pPr>
        <w:pStyle w:val="Compact"/>
        <w:numPr>
          <w:ilvl w:val="0"/>
          <w:numId w:val="1018"/>
        </w:numPr>
      </w:pPr>
      <w:r>
        <w:t xml:space="preserve">Przegalińska, Aleksandra, Paweł Oksanowicz.</w:t>
      </w:r>
      <w:r>
        <w:t xml:space="preserve"> </w:t>
      </w:r>
      <w:r>
        <w:rPr>
          <w:i/>
          <w:iCs/>
        </w:rPr>
        <w:t xml:space="preserve">Sztuczna inteligencja. Nieludzka, arcyludzka</w:t>
      </w:r>
      <w:r>
        <w:t xml:space="preserve"> </w:t>
      </w:r>
      <w:r>
        <w:t xml:space="preserve">[Artificial Intelligence: Inhuman, Supremely Human]. Kraków: Znak, 2020.</w:t>
      </w:r>
    </w:p>
    <w:p>
      <w:pPr>
        <w:pStyle w:val="Compact"/>
        <w:numPr>
          <w:ilvl w:val="0"/>
          <w:numId w:val="1018"/>
        </w:numPr>
      </w:pPr>
      <w:r>
        <w:t xml:space="preserve">Przegalińska, Aleksandra, Dariusz Jemielniak.</w:t>
      </w:r>
      <w:r>
        <w:t xml:space="preserve"> </w:t>
      </w:r>
      <w:r>
        <w:rPr>
          <w:i/>
          <w:iCs/>
        </w:rPr>
        <w:t xml:space="preserve">AI w strategii: rewolucja sztucznej inteligencji w zarządzaniu</w:t>
      </w:r>
      <w:r>
        <w:t xml:space="preserve"> </w:t>
      </w:r>
      <w:r>
        <w:t xml:space="preserve">[AI in Strategy: The Artificial Intelligence Revolution in Management]. Warsaw: MT Biznes, 2023.</w:t>
      </w:r>
    </w:p>
    <w:p>
      <w:pPr>
        <w:pStyle w:val="Compact"/>
        <w:numPr>
          <w:ilvl w:val="0"/>
          <w:numId w:val="1018"/>
        </w:numPr>
      </w:pPr>
      <w:r>
        <w:t xml:space="preserve">Sakowska-Baryła, Marlena (ed.).</w:t>
      </w:r>
      <w:r>
        <w:t xml:space="preserve"> </w:t>
      </w:r>
      <w:r>
        <w:rPr>
          <w:i/>
          <w:iCs/>
        </w:rPr>
        <w:t xml:space="preserve">Prawo sztucznej inteligencji i nowych technologii</w:t>
      </w:r>
      <w:r>
        <w:t xml:space="preserve"> </w:t>
      </w:r>
      <w:r>
        <w:t xml:space="preserve">[Law of Artificial Intelligence and New Technologies]. Warsaw: Wolters Kluwer, 2021.</w:t>
      </w:r>
    </w:p>
    <w:p>
      <w:pPr>
        <w:pStyle w:val="Compact"/>
        <w:numPr>
          <w:ilvl w:val="0"/>
          <w:numId w:val="1018"/>
        </w:numPr>
      </w:pPr>
      <w:r>
        <w:t xml:space="preserve">Sakowska-Baryła, Marlena (ed.).</w:t>
      </w:r>
      <w:r>
        <w:t xml:space="preserve"> </w:t>
      </w:r>
      <w:r>
        <w:rPr>
          <w:i/>
          <w:iCs/>
        </w:rPr>
        <w:t xml:space="preserve">Prawo sztucznej inteligencji i nowych technologii 2</w:t>
      </w:r>
      <w:r>
        <w:t xml:space="preserve"> </w:t>
      </w:r>
      <w:r>
        <w:t xml:space="preserve">[Law of Artificial Intelligence and New Technologies 2]. Warsaw: Wolters Kluwer, 2021.</w:t>
      </w:r>
    </w:p>
    <w:p>
      <w:pPr>
        <w:pStyle w:val="Compact"/>
        <w:numPr>
          <w:ilvl w:val="0"/>
          <w:numId w:val="1018"/>
        </w:numPr>
      </w:pPr>
      <w:r>
        <w:t xml:space="preserve">du Sautoy, Marcus.</w:t>
      </w:r>
      <w:r>
        <w:t xml:space="preserve"> </w:t>
      </w:r>
      <w:r>
        <w:rPr>
          <w:i/>
          <w:iCs/>
        </w:rPr>
        <w:t xml:space="preserve">Kod kreatywności. Sztuka i innowacje w epoce sztucznej inteligencji</w:t>
      </w:r>
      <w:r>
        <w:t xml:space="preserve"> </w:t>
      </w:r>
      <w:r>
        <w:t xml:space="preserve">[The Creativity Code: Art and Innovation in the Age of Artificial Intelligence]. Trans. Tadeusz Chawziuk. Kraków: Copernicus Center Press, 2020.</w:t>
      </w:r>
    </w:p>
    <w:p>
      <w:pPr>
        <w:pStyle w:val="Compact"/>
        <w:numPr>
          <w:ilvl w:val="0"/>
          <w:numId w:val="1018"/>
        </w:numPr>
      </w:pPr>
      <w:r>
        <w:t xml:space="preserve">Shin, Minkyu, Jin Kim, Bas van Opheusden, Thomas L. Griffiths. ‘Superhuman Artificial Intelligence Can Improve Human Decision-Making by Increasing Novelty’.</w:t>
      </w:r>
      <w:r>
        <w:t xml:space="preserve"> </w:t>
      </w:r>
      <w:r>
        <w:rPr>
          <w:i/>
          <w:iCs/>
        </w:rPr>
        <w:t xml:space="preserve">PNAS</w:t>
      </w:r>
      <w:r>
        <w:t xml:space="preserve"> </w:t>
      </w:r>
      <w:r>
        <w:t xml:space="preserve">120, no. 12 (2023): e2214840120.</w:t>
      </w:r>
    </w:p>
    <w:p>
      <w:pPr>
        <w:pStyle w:val="Compact"/>
        <w:numPr>
          <w:ilvl w:val="0"/>
          <w:numId w:val="1018"/>
        </w:numPr>
      </w:pPr>
      <w:r>
        <w:t xml:space="preserve">Simon, Zoltán Boldizsár.</w:t>
      </w:r>
      <w:r>
        <w:t xml:space="preserve"> </w:t>
      </w:r>
      <w:r>
        <w:rPr>
          <w:i/>
          <w:iCs/>
        </w:rPr>
        <w:t xml:space="preserve">History in Times of Unprecedented Change: A Theory for the 21st Century</w:t>
      </w:r>
      <w:r>
        <w:t xml:space="preserve">. London: Bloomsbury Academic, 2019.</w:t>
      </w:r>
    </w:p>
    <w:p>
      <w:pPr>
        <w:pStyle w:val="Compact"/>
        <w:numPr>
          <w:ilvl w:val="0"/>
          <w:numId w:val="1018"/>
        </w:numPr>
      </w:pPr>
      <w:r>
        <w:t xml:space="preserve">Stephens-Davidowitz, Seth.</w:t>
      </w:r>
      <w:r>
        <w:t xml:space="preserve"> </w:t>
      </w:r>
      <w:r>
        <w:rPr>
          <w:i/>
          <w:iCs/>
        </w:rPr>
        <w:t xml:space="preserve">Wszyscy kłamią. Big data, nowe dane i wszystko, co internet może nam powiedzieć o tym, kim naprawdę jesteśmy</w:t>
      </w:r>
      <w:r>
        <w:t xml:space="preserve"> </w:t>
      </w:r>
      <w:r>
        <w:t xml:space="preserve">[Everybody Lies: Big Data, New Data and Everything the Internet Can Tell Us about Who We Really Are]. Trans. Maciej Świerkocki. Kraków: Wydawnictwo Literackie, 2019.</w:t>
      </w:r>
    </w:p>
    <w:p>
      <w:pPr>
        <w:pStyle w:val="Compact"/>
        <w:numPr>
          <w:ilvl w:val="0"/>
          <w:numId w:val="1018"/>
        </w:numPr>
      </w:pPr>
      <w:r>
        <w:t xml:space="preserve">Strachan, James W. A., Dalila Albergo, Giulia Borghini et al. ‘Testing Theory of Mind in Large Language Models and Humans’.</w:t>
      </w:r>
      <w:r>
        <w:t xml:space="preserve"> </w:t>
      </w:r>
      <w:r>
        <w:rPr>
          <w:i/>
          <w:iCs/>
        </w:rPr>
        <w:t xml:space="preserve">Nature Human Behaviour</w:t>
      </w:r>
      <w:r>
        <w:t xml:space="preserve"> </w:t>
      </w:r>
      <w:r>
        <w:t xml:space="preserve">8 (2024): 1285–1295.</w:t>
      </w:r>
    </w:p>
    <w:p>
      <w:pPr>
        <w:pStyle w:val="Compact"/>
        <w:numPr>
          <w:ilvl w:val="0"/>
          <w:numId w:val="1018"/>
        </w:numPr>
      </w:pPr>
      <w:r>
        <w:t xml:space="preserve">Suleyman, Mustafa, Michael Bhaskar.</w:t>
      </w:r>
      <w:r>
        <w:t xml:space="preserve"> </w:t>
      </w:r>
      <w:r>
        <w:rPr>
          <w:i/>
          <w:iCs/>
        </w:rPr>
        <w:t xml:space="preserve">The Coming Wave: Technology, Power, and the Twenty-First Century’s Greatest Dilemma</w:t>
      </w:r>
      <w:r>
        <w:t xml:space="preserve">. London: Bodley Head, 2023.</w:t>
      </w:r>
    </w:p>
    <w:p>
      <w:pPr>
        <w:pStyle w:val="Compact"/>
        <w:numPr>
          <w:ilvl w:val="0"/>
          <w:numId w:val="1018"/>
        </w:numPr>
      </w:pPr>
      <w:r>
        <w:t xml:space="preserve">Tegmark, Max.</w:t>
      </w:r>
      <w:r>
        <w:t xml:space="preserve"> </w:t>
      </w:r>
      <w:r>
        <w:rPr>
          <w:i/>
          <w:iCs/>
        </w:rPr>
        <w:t xml:space="preserve">Życie 3.0. Człowiek w erze sztucznej inteligencji</w:t>
      </w:r>
      <w:r>
        <w:t xml:space="preserve"> </w:t>
      </w:r>
      <w:r>
        <w:t xml:space="preserve">[Life 3.0: The Human Being in the Age of Artificial Intelligence]. Trans. Tomasz Krzysztoń. Warsaw: Prószyński i S-ka, 2019.</w:t>
      </w:r>
    </w:p>
    <w:p>
      <w:pPr>
        <w:pStyle w:val="Compact"/>
        <w:numPr>
          <w:ilvl w:val="0"/>
          <w:numId w:val="1018"/>
        </w:numPr>
      </w:pPr>
      <w:r>
        <w:t xml:space="preserve">Wolfram, Stephen.</w:t>
      </w:r>
      <w:r>
        <w:t xml:space="preserve"> </w:t>
      </w:r>
      <w:r>
        <w:rPr>
          <w:i/>
          <w:iCs/>
        </w:rPr>
        <w:t xml:space="preserve">A New Kind of Science</w:t>
      </w:r>
      <w:r>
        <w:t xml:space="preserve">. Champaign, IL: Wolfram Media, 2002.</w:t>
      </w:r>
    </w:p>
    <w:p>
      <w:pPr>
        <w:pStyle w:val="Compact"/>
        <w:numPr>
          <w:ilvl w:val="0"/>
          <w:numId w:val="1018"/>
        </w:numPr>
      </w:pPr>
      <w:r>
        <w:t xml:space="preserve">Yang, Hui, Sifu Yue, Yunzhong He. ‘Auto-GPT for Online Decision Making: Benchmarks and Additional Opinions’. arXiv:2306.02224 (2023).</w:t>
      </w:r>
    </w:p>
    <w:p>
      <w:pPr>
        <w:pStyle w:val="Compact"/>
        <w:numPr>
          <w:ilvl w:val="0"/>
          <w:numId w:val="1018"/>
        </w:numPr>
      </w:pPr>
      <w:r>
        <w:t xml:space="preserve">Zybertowicz, Andrzej, Jarema Piekutowski.</w:t>
      </w:r>
      <w:r>
        <w:t xml:space="preserve"> </w:t>
      </w:r>
      <w:r>
        <w:rPr>
          <w:i/>
          <w:iCs/>
        </w:rPr>
        <w:t xml:space="preserve">Cyber kontra real. Cywilizacja w techno-pułapce</w:t>
      </w:r>
      <w:r>
        <w:t xml:space="preserve"> </w:t>
      </w:r>
      <w:r>
        <w:t xml:space="preserve">[Cyber versus Real: Civilisation in a Techno-Trap]. Warsaw: Wydawnictwo Nowej Konfederacji, 2022.</w:t>
      </w:r>
    </w:p>
    <w:bookmarkEnd w:id="23"/>
    <w:bookmarkEnd w:id="24"/>
    <w:sectPr w:rsidR="00720464" w:rsidRPr="003834C3" w:rsidSect="00492F48">
      <w:pgSz w:h="16838" w:w="11906"/>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DF7665D"/>
    <w:multiLevelType w:val="multilevel"/>
    <w:tmpl w:val="9D9006D6"/>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
    <w:nsid w:val="12741996"/>
    <w:multiLevelType w:val="multilevel"/>
    <w:tmpl w:val="811C8188"/>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
    <w:nsid w:val="1A4178B8"/>
    <w:multiLevelType w:val="multilevel"/>
    <w:tmpl w:val="F43C69EC"/>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3">
    <w:nsid w:val="1ADC1A53"/>
    <w:multiLevelType w:val="multilevel"/>
    <w:tmpl w:val="15664D6E"/>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4">
    <w:nsid w:val="1CC034BD"/>
    <w:multiLevelType w:val="multilevel"/>
    <w:tmpl w:val="DBD65E72"/>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5">
    <w:nsid w:val="2DAA1B3D"/>
    <w:multiLevelType w:val="multilevel"/>
    <w:tmpl w:val="4E0A35A2"/>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6">
    <w:nsid w:val="2F9A70B5"/>
    <w:multiLevelType w:val="multilevel"/>
    <w:tmpl w:val="5976959E"/>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7">
    <w:nsid w:val="33D410CB"/>
    <w:multiLevelType w:val="multilevel"/>
    <w:tmpl w:val="D0749178"/>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8">
    <w:nsid w:val="374646FE"/>
    <w:multiLevelType w:val="multilevel"/>
    <w:tmpl w:val="9CC0D9C6"/>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9">
    <w:nsid w:val="3ACC63EE"/>
    <w:multiLevelType w:val="multilevel"/>
    <w:tmpl w:val="0415001D"/>
    <w:styleLink w:val="Styl3"/>
    <w:lvl w:ilvl="0">
      <w:start w:val="1"/>
      <w:numFmt w:val="decimal"/>
      <w:lvlText w:val="%1)"/>
      <w:lvlJc w:val="left"/>
      <w:pPr>
        <w:ind w:hanging="360" w:left="360"/>
      </w:pPr>
      <w:rPr>
        <w:rFonts w:cs="Times New Roman"/>
        <w:color w:val="4F81BD"/>
      </w:rPr>
    </w:lvl>
    <w:lvl w:ilvl="1">
      <w:start w:val="1"/>
      <w:numFmt w:val="lowerLetter"/>
      <w:lvlText w:val="%2)"/>
      <w:lvlJc w:val="left"/>
      <w:pPr>
        <w:ind w:hanging="360" w:left="720"/>
      </w:pPr>
      <w:rPr>
        <w:rFonts w:cs="Times New Roman"/>
      </w:rPr>
    </w:lvl>
    <w:lvl w:ilvl="2">
      <w:start w:val="1"/>
      <w:numFmt w:val="lowerRoman"/>
      <w:lvlText w:val="%3)"/>
      <w:lvlJc w:val="left"/>
      <w:pPr>
        <w:ind w:hanging="360" w:left="1080"/>
      </w:pPr>
      <w:rPr>
        <w:rFonts w:cs="Times New Roman"/>
      </w:rPr>
    </w:lvl>
    <w:lvl w:ilvl="3">
      <w:start w:val="1"/>
      <w:numFmt w:val="decimal"/>
      <w:lvlText w:val="(%4)"/>
      <w:lvlJc w:val="left"/>
      <w:pPr>
        <w:ind w:hanging="360" w:left="1440"/>
      </w:pPr>
      <w:rPr>
        <w:rFonts w:cs="Times New Roman"/>
      </w:rPr>
    </w:lvl>
    <w:lvl w:ilvl="4">
      <w:start w:val="1"/>
      <w:numFmt w:val="lowerLetter"/>
      <w:lvlText w:val="(%5)"/>
      <w:lvlJc w:val="left"/>
      <w:pPr>
        <w:ind w:hanging="360" w:left="1800"/>
      </w:pPr>
      <w:rPr>
        <w:rFonts w:cs="Times New Roman"/>
      </w:rPr>
    </w:lvl>
    <w:lvl w:ilvl="5">
      <w:start w:val="1"/>
      <w:numFmt w:val="lowerRoman"/>
      <w:lvlText w:val="(%6)"/>
      <w:lvlJc w:val="left"/>
      <w:pPr>
        <w:ind w:hanging="360" w:left="2160"/>
      </w:pPr>
      <w:rPr>
        <w:rFonts w:cs="Times New Roman"/>
      </w:rPr>
    </w:lvl>
    <w:lvl w:ilvl="6">
      <w:start w:val="1"/>
      <w:numFmt w:val="decimal"/>
      <w:lvlText w:val="%7."/>
      <w:lvlJc w:val="left"/>
      <w:pPr>
        <w:ind w:hanging="360" w:left="2520"/>
      </w:pPr>
      <w:rPr>
        <w:rFonts w:cs="Times New Roman"/>
      </w:rPr>
    </w:lvl>
    <w:lvl w:ilvl="7">
      <w:start w:val="1"/>
      <w:numFmt w:val="lowerLetter"/>
      <w:lvlText w:val="%8."/>
      <w:lvlJc w:val="left"/>
      <w:pPr>
        <w:ind w:hanging="360" w:left="2880"/>
      </w:pPr>
      <w:rPr>
        <w:rFonts w:cs="Times New Roman"/>
      </w:rPr>
    </w:lvl>
    <w:lvl w:ilvl="8">
      <w:start w:val="1"/>
      <w:numFmt w:val="lowerRoman"/>
      <w:lvlText w:val="%9."/>
      <w:lvlJc w:val="left"/>
      <w:pPr>
        <w:ind w:hanging="360" w:left="3240"/>
      </w:pPr>
      <w:rPr>
        <w:rFonts w:cs="Times New Roman"/>
      </w:rPr>
    </w:lvl>
  </w:abstractNum>
  <w:abstractNum w15:restartNumberingAfterBreak="0" w:abstractNumId="10">
    <w:nsid w:val="3BCA758A"/>
    <w:multiLevelType w:val="multilevel"/>
    <w:tmpl w:val="0415001D"/>
    <w:numStyleLink w:val="Styl3"/>
  </w:abstractNum>
  <w:abstractNum w15:restartNumberingAfterBreak="0" w:abstractNumId="11">
    <w:nsid w:val="4CED716F"/>
    <w:multiLevelType w:val="multilevel"/>
    <w:tmpl w:val="0415001D"/>
    <w:styleLink w:val="Styl2"/>
    <w:lvl w:ilvl="0">
      <w:start w:val="1"/>
      <w:numFmt w:val="decimal"/>
      <w:lvlText w:val="%1)"/>
      <w:lvlJc w:val="left"/>
      <w:pPr>
        <w:ind w:hanging="360" w:left="360"/>
      </w:pPr>
      <w:rPr>
        <w:rFonts w:cs="Times New Roman"/>
        <w:color w:val="auto"/>
      </w:rPr>
    </w:lvl>
    <w:lvl w:ilvl="1">
      <w:start w:val="1"/>
      <w:numFmt w:val="lowerLetter"/>
      <w:lvlText w:val="%2)"/>
      <w:lvlJc w:val="left"/>
      <w:pPr>
        <w:ind w:hanging="360" w:left="720"/>
      </w:pPr>
      <w:rPr>
        <w:rFonts w:cs="Times New Roman"/>
      </w:rPr>
    </w:lvl>
    <w:lvl w:ilvl="2">
      <w:start w:val="1"/>
      <w:numFmt w:val="bullet"/>
      <w:lvlText w:val=""/>
      <w:lvlJc w:val="left"/>
      <w:pPr>
        <w:ind w:hanging="360" w:left="1080"/>
      </w:pPr>
      <w:rPr>
        <w:rFonts w:ascii="Symbol" w:hAnsi="Symbol" w:hint="default"/>
        <w:color w:val="4F81BD"/>
      </w:rPr>
    </w:lvl>
    <w:lvl w:ilvl="3">
      <w:start w:val="1"/>
      <w:numFmt w:val="decimal"/>
      <w:lvlText w:val="(%4)"/>
      <w:lvlJc w:val="left"/>
      <w:pPr>
        <w:ind w:hanging="360" w:left="1440"/>
      </w:pPr>
      <w:rPr>
        <w:rFonts w:cs="Times New Roman"/>
      </w:rPr>
    </w:lvl>
    <w:lvl w:ilvl="4">
      <w:start w:val="1"/>
      <w:numFmt w:val="lowerLetter"/>
      <w:lvlText w:val="(%5)"/>
      <w:lvlJc w:val="left"/>
      <w:pPr>
        <w:ind w:hanging="360" w:left="1800"/>
      </w:pPr>
      <w:rPr>
        <w:rFonts w:cs="Times New Roman"/>
      </w:rPr>
    </w:lvl>
    <w:lvl w:ilvl="5">
      <w:start w:val="1"/>
      <w:numFmt w:val="lowerRoman"/>
      <w:lvlText w:val="(%6)"/>
      <w:lvlJc w:val="left"/>
      <w:pPr>
        <w:ind w:hanging="360" w:left="2160"/>
      </w:pPr>
      <w:rPr>
        <w:rFonts w:cs="Times New Roman"/>
      </w:rPr>
    </w:lvl>
    <w:lvl w:ilvl="6">
      <w:start w:val="1"/>
      <w:numFmt w:val="decimal"/>
      <w:lvlText w:val="%7."/>
      <w:lvlJc w:val="left"/>
      <w:pPr>
        <w:ind w:hanging="360" w:left="2520"/>
      </w:pPr>
      <w:rPr>
        <w:rFonts w:cs="Times New Roman"/>
      </w:rPr>
    </w:lvl>
    <w:lvl w:ilvl="7">
      <w:start w:val="1"/>
      <w:numFmt w:val="lowerLetter"/>
      <w:lvlText w:val="%8."/>
      <w:lvlJc w:val="left"/>
      <w:pPr>
        <w:ind w:hanging="360" w:left="2880"/>
      </w:pPr>
      <w:rPr>
        <w:rFonts w:cs="Times New Roman"/>
      </w:rPr>
    </w:lvl>
    <w:lvl w:ilvl="8">
      <w:start w:val="1"/>
      <w:numFmt w:val="lowerRoman"/>
      <w:lvlText w:val="%9."/>
      <w:lvlJc w:val="left"/>
      <w:pPr>
        <w:ind w:hanging="360" w:left="3240"/>
      </w:pPr>
      <w:rPr>
        <w:rFonts w:cs="Times New Roman"/>
      </w:rPr>
    </w:lvl>
  </w:abstractNum>
  <w:abstractNum w15:restartNumberingAfterBreak="0" w:abstractNumId="12">
    <w:nsid w:val="4E056329"/>
    <w:multiLevelType w:val="multilevel"/>
    <w:tmpl w:val="B86C89C8"/>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3">
    <w:nsid w:val="4EC058C6"/>
    <w:multiLevelType w:val="multilevel"/>
    <w:tmpl w:val="07C0D3A4"/>
    <w:styleLink w:val="Styl1"/>
    <w:lvl w:ilvl="0">
      <w:start w:val="1"/>
      <w:numFmt w:val="decimal"/>
      <w:lvlText w:val="%1."/>
      <w:lvlJc w:val="left"/>
      <w:pPr>
        <w:ind w:hanging="360" w:left="720"/>
      </w:pPr>
      <w:rPr>
        <w:rFonts w:cs="Times New Roman"/>
      </w:rPr>
    </w:lvl>
    <w:lvl w:ilvl="1">
      <w:start w:val="1"/>
      <w:numFmt w:val="lowerLetter"/>
      <w:lvlText w:val="%2."/>
      <w:lvlJc w:val="left"/>
      <w:pPr>
        <w:ind w:hanging="360" w:left="1440"/>
      </w:pPr>
      <w:rPr>
        <w:rFonts w:cs="Times New Roman"/>
      </w:rPr>
    </w:lvl>
    <w:lvl w:ilvl="2">
      <w:start w:val="1"/>
      <w:numFmt w:val="bullet"/>
      <w:lvlText w:val=""/>
      <w:lvlJc w:val="left"/>
      <w:pPr>
        <w:ind w:hanging="180" w:left="2160"/>
      </w:pPr>
      <w:rPr>
        <w:rFonts w:ascii="Symbol" w:hAnsi="Symbol" w:hint="default"/>
        <w:color w:val="auto"/>
      </w:rPr>
    </w:lvl>
    <w:lvl w:ilvl="3">
      <w:start w:val="1"/>
      <w:numFmt w:val="decimal"/>
      <w:lvlText w:val="%4."/>
      <w:lvlJc w:val="left"/>
      <w:pPr>
        <w:ind w:hanging="360" w:left="2880"/>
      </w:pPr>
      <w:rPr>
        <w:rFonts w:cs="Times New Roman"/>
      </w:rPr>
    </w:lvl>
    <w:lvl w:ilvl="4">
      <w:start w:val="1"/>
      <w:numFmt w:val="lowerLetter"/>
      <w:lvlText w:val="%5."/>
      <w:lvlJc w:val="left"/>
      <w:pPr>
        <w:ind w:hanging="360" w:left="3600"/>
      </w:pPr>
      <w:rPr>
        <w:rFonts w:cs="Times New Roman"/>
      </w:rPr>
    </w:lvl>
    <w:lvl w:ilvl="5">
      <w:start w:val="1"/>
      <w:numFmt w:val="lowerRoman"/>
      <w:lvlText w:val="%6."/>
      <w:lvlJc w:val="right"/>
      <w:pPr>
        <w:ind w:hanging="180" w:left="4320"/>
      </w:pPr>
      <w:rPr>
        <w:rFonts w:cs="Times New Roman"/>
      </w:rPr>
    </w:lvl>
    <w:lvl w:ilvl="6">
      <w:start w:val="1"/>
      <w:numFmt w:val="decimal"/>
      <w:lvlText w:val="%7."/>
      <w:lvlJc w:val="left"/>
      <w:pPr>
        <w:ind w:hanging="360" w:left="5040"/>
      </w:pPr>
      <w:rPr>
        <w:rFonts w:cs="Times New Roman"/>
      </w:rPr>
    </w:lvl>
    <w:lvl w:ilvl="7">
      <w:start w:val="1"/>
      <w:numFmt w:val="lowerLetter"/>
      <w:lvlText w:val="%8."/>
      <w:lvlJc w:val="left"/>
      <w:pPr>
        <w:ind w:hanging="360" w:left="5760"/>
      </w:pPr>
      <w:rPr>
        <w:rFonts w:cs="Times New Roman"/>
      </w:rPr>
    </w:lvl>
    <w:lvl w:ilvl="8">
      <w:start w:val="1"/>
      <w:numFmt w:val="lowerRoman"/>
      <w:lvlText w:val="%9."/>
      <w:lvlJc w:val="right"/>
      <w:pPr>
        <w:ind w:hanging="180" w:left="6480"/>
      </w:pPr>
      <w:rPr>
        <w:rFonts w:cs="Times New Roman"/>
      </w:rPr>
    </w:lvl>
  </w:abstractNum>
  <w:abstractNum w15:restartNumberingAfterBreak="0" w:abstractNumId="14">
    <w:nsid w:val="52931D05"/>
    <w:multiLevelType w:val="multilevel"/>
    <w:tmpl w:val="DA94F6D6"/>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5">
    <w:nsid w:val="574A7F02"/>
    <w:multiLevelType w:val="multilevel"/>
    <w:tmpl w:val="944A6598"/>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6">
    <w:nsid w:val="64F144A1"/>
    <w:multiLevelType w:val="multilevel"/>
    <w:tmpl w:val="D1787230"/>
    <w:lvl w:ilvl="0">
      <w:start w:val="1"/>
      <w:numFmt w:val="decimal"/>
      <w:lvlText w:val="%1)"/>
      <w:lvlJc w:val="left"/>
      <w:pPr>
        <w:ind w:hanging="360" w:left="360"/>
      </w:pPr>
      <w:rPr>
        <w:rFonts w:cs="Times New Roman" w:hint="default"/>
        <w:color w:val="4F81BD"/>
      </w:rPr>
    </w:lvl>
    <w:lvl w:ilvl="1">
      <w:start w:val="1"/>
      <w:numFmt w:val="lowerLetter"/>
      <w:lvlText w:val="%2)"/>
      <w:lvlJc w:val="left"/>
      <w:pPr>
        <w:ind w:hanging="360" w:left="720"/>
      </w:pPr>
      <w:rPr>
        <w:rFonts w:cs="Times New Roman" w:hint="default"/>
      </w:rPr>
    </w:lvl>
    <w:lvl w:ilvl="2">
      <w:start w:val="1"/>
      <w:numFmt w:val="lowerRoman"/>
      <w:lvlText w:val="%3)"/>
      <w:lvlJc w:val="left"/>
      <w:pPr>
        <w:ind w:hanging="360" w:left="1080"/>
      </w:pPr>
      <w:rPr>
        <w:rFonts w:cs="Times New Roman" w:hint="default"/>
      </w:rPr>
    </w:lvl>
    <w:lvl w:ilvl="3">
      <w:start w:val="1"/>
      <w:numFmt w:val="decimal"/>
      <w:lvlText w:val="(%4)"/>
      <w:lvlJc w:val="left"/>
      <w:pPr>
        <w:ind w:hanging="360" w:left="1440"/>
      </w:pPr>
      <w:rPr>
        <w:rFonts w:cs="Times New Roman" w:hint="default"/>
      </w:rPr>
    </w:lvl>
    <w:lvl w:ilvl="4">
      <w:start w:val="1"/>
      <w:numFmt w:val="lowerLetter"/>
      <w:lvlText w:val="(%5)"/>
      <w:lvlJc w:val="left"/>
      <w:pPr>
        <w:ind w:hanging="360" w:left="1800"/>
      </w:pPr>
      <w:rPr>
        <w:rFonts w:cs="Times New Roman" w:hint="default"/>
      </w:rPr>
    </w:lvl>
    <w:lvl w:ilvl="5">
      <w:start w:val="1"/>
      <w:numFmt w:val="lowerRoman"/>
      <w:lvlText w:val="(%6)"/>
      <w:lvlJc w:val="left"/>
      <w:pPr>
        <w:ind w:hanging="360" w:left="2160"/>
      </w:pPr>
      <w:rPr>
        <w:rFonts w:cs="Times New Roman" w:hint="default"/>
      </w:rPr>
    </w:lvl>
    <w:lvl w:ilvl="6">
      <w:start w:val="1"/>
      <w:numFmt w:val="decimal"/>
      <w:lvlText w:val="%7."/>
      <w:lvlJc w:val="left"/>
      <w:pPr>
        <w:ind w:hanging="360" w:left="2520"/>
      </w:pPr>
      <w:rPr>
        <w:rFonts w:cs="Times New Roman" w:hint="default"/>
      </w:rPr>
    </w:lvl>
    <w:lvl w:ilvl="7">
      <w:start w:val="1"/>
      <w:numFmt w:val="lowerLetter"/>
      <w:lvlText w:val="%8."/>
      <w:lvlJc w:val="left"/>
      <w:pPr>
        <w:ind w:hanging="360" w:left="2880"/>
      </w:pPr>
      <w:rPr>
        <w:rFonts w:cs="Times New Roman" w:hint="default"/>
      </w:rPr>
    </w:lvl>
    <w:lvl w:ilvl="8">
      <w:start w:val="1"/>
      <w:numFmt w:val="lowerRoman"/>
      <w:lvlText w:val="%9."/>
      <w:lvlJc w:val="left"/>
      <w:pPr>
        <w:ind w:hanging="360" w:left="3240"/>
      </w:pPr>
      <w:rPr>
        <w:rFonts w:cs="Times New Roman" w:hint="default"/>
      </w:rPr>
    </w:lvl>
  </w:abstractNum>
  <w:abstractNum w15:restartNumberingAfterBreak="0" w:abstractNumId="17">
    <w:nsid w:val="6B2D5FE7"/>
    <w:multiLevelType w:val="multilevel"/>
    <w:tmpl w:val="DCE0418A"/>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8">
    <w:nsid w:val="7DF0337D"/>
    <w:multiLevelType w:val="multilevel"/>
    <w:tmpl w:val="FDF0818E"/>
    <w:lvl w:ilvl="0">
      <w:start w:val="1"/>
      <w:numFmt w:val="bullet"/>
      <w:lvlText w:val=""/>
      <w:lvlJc w:val="left"/>
      <w:pPr>
        <w:tabs>
          <w:tab w:pos="720" w:val="num"/>
        </w:tabs>
        <w:ind w:hanging="360" w:left="720"/>
      </w:pPr>
      <w:rPr>
        <w:rFonts w:ascii="Symbol" w:hAnsi="Symbol" w:hint="default"/>
        <w:sz w:val="20"/>
      </w:rPr>
    </w:lvl>
    <w:lvl w:ilvl="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2043994" w:numId="1">
    <w:abstractNumId w:val="10"/>
  </w:num>
  <w:num w16cid:durableId="367027413" w:numId="2">
    <w:abstractNumId w:val="13"/>
  </w:num>
  <w:num w16cid:durableId="90201557" w:numId="3">
    <w:abstractNumId w:val="11"/>
  </w:num>
  <w:num w16cid:durableId="144660910" w:numId="4">
    <w:abstractNumId w:val="9"/>
  </w:num>
  <w:num w16cid:durableId="2123916148" w:numId="5">
    <w:abstractNumId w:val="16"/>
  </w:num>
  <w:num w16cid:durableId="1037657809" w:numId="6">
    <w:abstractNumId w:val="6"/>
  </w:num>
  <w:num w16cid:durableId="1451122250" w:numId="7">
    <w:abstractNumId w:val="4"/>
  </w:num>
  <w:num w16cid:durableId="1476333402" w:numId="8">
    <w:abstractNumId w:val="18"/>
  </w:num>
  <w:num w16cid:durableId="1834105453" w:numId="9">
    <w:abstractNumId w:val="5"/>
  </w:num>
  <w:num w16cid:durableId="109710049" w:numId="10">
    <w:abstractNumId w:val="7"/>
  </w:num>
  <w:num w16cid:durableId="111561550" w:numId="11">
    <w:abstractNumId w:val="3"/>
  </w:num>
  <w:num w16cid:durableId="29769001" w:numId="12">
    <w:abstractNumId w:val="8"/>
  </w:num>
  <w:num w16cid:durableId="1796947205" w:numId="13">
    <w:abstractNumId w:val="1"/>
  </w:num>
  <w:num w16cid:durableId="2031103806" w:numId="14">
    <w:abstractNumId w:val="2"/>
  </w:num>
  <w:num w16cid:durableId="1124156285" w:numId="15">
    <w:abstractNumId w:val="0"/>
  </w:num>
  <w:num w16cid:durableId="1857232526" w:numId="16">
    <w:abstractNumId w:val="15"/>
  </w:num>
  <w:num w16cid:durableId="421875618" w:numId="17">
    <w:abstractNumId w:val="14"/>
  </w:num>
  <w:num w16cid:durableId="394664613" w:numId="18">
    <w:abstractNumId w:val="12"/>
  </w:num>
  <w:num w16cid:durableId="1442913595" w:numId="19">
    <w:abstractNumId w:val="1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738"/>
    <w:rsid w:val="00006FB7"/>
    <w:rsid w:val="00013954"/>
    <w:rsid w:val="000309CE"/>
    <w:rsid w:val="00041557"/>
    <w:rsid w:val="00061D71"/>
    <w:rsid w:val="00090593"/>
    <w:rsid w:val="000A3316"/>
    <w:rsid w:val="000B0850"/>
    <w:rsid w:val="000B3BEA"/>
    <w:rsid w:val="000C4F76"/>
    <w:rsid w:val="000D3CBE"/>
    <w:rsid w:val="000D7A37"/>
    <w:rsid w:val="000F52A8"/>
    <w:rsid w:val="001108CB"/>
    <w:rsid w:val="00116E36"/>
    <w:rsid w:val="00125640"/>
    <w:rsid w:val="001B7333"/>
    <w:rsid w:val="001C2CC3"/>
    <w:rsid w:val="001C4999"/>
    <w:rsid w:val="001E4C0E"/>
    <w:rsid w:val="002155F0"/>
    <w:rsid w:val="00221752"/>
    <w:rsid w:val="00233C0A"/>
    <w:rsid w:val="00267C0C"/>
    <w:rsid w:val="00291B96"/>
    <w:rsid w:val="002C4FD5"/>
    <w:rsid w:val="002E557E"/>
    <w:rsid w:val="002F6EEE"/>
    <w:rsid w:val="00316BB8"/>
    <w:rsid w:val="003267E7"/>
    <w:rsid w:val="00381B1F"/>
    <w:rsid w:val="003834C3"/>
    <w:rsid w:val="003E1F82"/>
    <w:rsid w:val="003E2426"/>
    <w:rsid w:val="003F20A1"/>
    <w:rsid w:val="00427461"/>
    <w:rsid w:val="00434094"/>
    <w:rsid w:val="004429C9"/>
    <w:rsid w:val="00445679"/>
    <w:rsid w:val="0046635C"/>
    <w:rsid w:val="00467B40"/>
    <w:rsid w:val="00473A8C"/>
    <w:rsid w:val="00491738"/>
    <w:rsid w:val="00492F48"/>
    <w:rsid w:val="0049454D"/>
    <w:rsid w:val="004A2C8C"/>
    <w:rsid w:val="00536AEE"/>
    <w:rsid w:val="00541907"/>
    <w:rsid w:val="005436A9"/>
    <w:rsid w:val="00557900"/>
    <w:rsid w:val="00566B33"/>
    <w:rsid w:val="005810F0"/>
    <w:rsid w:val="00592D32"/>
    <w:rsid w:val="005A10E2"/>
    <w:rsid w:val="005D636A"/>
    <w:rsid w:val="005E7D2D"/>
    <w:rsid w:val="00623A38"/>
    <w:rsid w:val="00637931"/>
    <w:rsid w:val="00641786"/>
    <w:rsid w:val="006C42FA"/>
    <w:rsid w:val="006F461F"/>
    <w:rsid w:val="00702F5C"/>
    <w:rsid w:val="00705B41"/>
    <w:rsid w:val="007073F1"/>
    <w:rsid w:val="00720464"/>
    <w:rsid w:val="0073060E"/>
    <w:rsid w:val="007320C7"/>
    <w:rsid w:val="0073239B"/>
    <w:rsid w:val="00763305"/>
    <w:rsid w:val="007702AA"/>
    <w:rsid w:val="007836BE"/>
    <w:rsid w:val="007A1943"/>
    <w:rsid w:val="007A54A9"/>
    <w:rsid w:val="007B3322"/>
    <w:rsid w:val="007F0A51"/>
    <w:rsid w:val="007F6153"/>
    <w:rsid w:val="008456FD"/>
    <w:rsid w:val="00873EC6"/>
    <w:rsid w:val="00885202"/>
    <w:rsid w:val="008A4AD1"/>
    <w:rsid w:val="008A4B0F"/>
    <w:rsid w:val="008B1DD8"/>
    <w:rsid w:val="008B317F"/>
    <w:rsid w:val="008F7D76"/>
    <w:rsid w:val="00900E3C"/>
    <w:rsid w:val="00920486"/>
    <w:rsid w:val="0092588C"/>
    <w:rsid w:val="00942404"/>
    <w:rsid w:val="009515C6"/>
    <w:rsid w:val="00955134"/>
    <w:rsid w:val="00957288"/>
    <w:rsid w:val="00975836"/>
    <w:rsid w:val="00983D4C"/>
    <w:rsid w:val="009915C5"/>
    <w:rsid w:val="009A2FB7"/>
    <w:rsid w:val="009B652C"/>
    <w:rsid w:val="009C5FB4"/>
    <w:rsid w:val="009D1CC5"/>
    <w:rsid w:val="009E029A"/>
    <w:rsid w:val="00A06817"/>
    <w:rsid w:val="00A1543A"/>
    <w:rsid w:val="00A40BE0"/>
    <w:rsid w:val="00A41A1E"/>
    <w:rsid w:val="00A42107"/>
    <w:rsid w:val="00A51090"/>
    <w:rsid w:val="00A817E0"/>
    <w:rsid w:val="00A91C3C"/>
    <w:rsid w:val="00AA291A"/>
    <w:rsid w:val="00AD6ABF"/>
    <w:rsid w:val="00AD790D"/>
    <w:rsid w:val="00AF39D0"/>
    <w:rsid w:val="00B0222E"/>
    <w:rsid w:val="00B1110C"/>
    <w:rsid w:val="00B13188"/>
    <w:rsid w:val="00B20C59"/>
    <w:rsid w:val="00B40C20"/>
    <w:rsid w:val="00B91D4C"/>
    <w:rsid w:val="00BA2515"/>
    <w:rsid w:val="00BA5C8D"/>
    <w:rsid w:val="00C24F24"/>
    <w:rsid w:val="00C31418"/>
    <w:rsid w:val="00C453BD"/>
    <w:rsid w:val="00C5748E"/>
    <w:rsid w:val="00CA71CD"/>
    <w:rsid w:val="00CA7ADE"/>
    <w:rsid w:val="00CB1013"/>
    <w:rsid w:val="00CE27D2"/>
    <w:rsid w:val="00D11321"/>
    <w:rsid w:val="00D14050"/>
    <w:rsid w:val="00D20700"/>
    <w:rsid w:val="00D356B8"/>
    <w:rsid w:val="00D8117C"/>
    <w:rsid w:val="00DC7D42"/>
    <w:rsid w:val="00DD72B9"/>
    <w:rsid w:val="00DE1048"/>
    <w:rsid w:val="00E07DC5"/>
    <w:rsid w:val="00E31AFC"/>
    <w:rsid w:val="00E43D58"/>
    <w:rsid w:val="00E46300"/>
    <w:rsid w:val="00E52844"/>
    <w:rsid w:val="00E55297"/>
    <w:rsid w:val="00E57417"/>
    <w:rsid w:val="00E73246"/>
    <w:rsid w:val="00E756F1"/>
    <w:rsid w:val="00EA09F8"/>
    <w:rsid w:val="00EF1A40"/>
    <w:rsid w:val="00EF545A"/>
    <w:rsid w:val="00EF70DB"/>
    <w:rsid w:val="00EF786A"/>
    <w:rsid w:val="00F0598E"/>
    <w:rsid w:val="00F40BD0"/>
    <w:rsid w:val="00F9477F"/>
    <w:rsid w:val="00F962A9"/>
    <w:rsid w:val="00FC2E43"/>
    <w:rsid w:val="00FC3545"/>
    <w:rsid w:val="00FD3FBA"/>
  </w:rsids>
  <w:themeFontLang w:val="pl-PL"/>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libri" w:hAnsi="Calibri"/>
        <w:sz w:val="22"/>
        <w:szCs w:val="22"/>
        <w:lang w:bidi="ar-SA" w:eastAsia="pl-PL" w:val="en-GB"/>
      </w:rPr>
    </w:rPrDefault>
    <w:pPrDefault/>
  </w:docDefaults>
  <w:latentStyles w:count="376" w:defLockedState="0" w:defQFormat="0" w:defSemiHidden="0" w:defUIPriority="99" w:defUnhideWhenUsed="0">
    <w:lsdException w:locked="1" w:name="Normal" w:qFormat="1" w:uiPriority="0"/>
    <w:lsdException w:locked="1" w:name="heading 1" w:qFormat="1" w:uiPriority="0"/>
    <w:lsdException w:locked="1" w:name="heading 2" w:qFormat="1" w:uiPriority="0"/>
    <w:lsdException w:locked="1" w:name="heading 3" w:qFormat="1" w:semiHidden="1" w:uiPriority="0" w:unhideWhenUsed="1"/>
    <w:lsdException w:locked="1" w:name="heading 4" w:qFormat="1" w:semiHidden="1" w:uiPriority="0" w:unhideWhenUsed="1"/>
    <w:lsdException w:locked="1" w:name="heading 5" w:qFormat="1" w:semiHidden="1" w:uiPriority="0" w:unhideWhenUsed="1"/>
    <w:lsdException w:locked="1" w:name="heading 6" w:qFormat="1" w:semiHidden="1" w:uiPriority="0" w:unhideWhenUsed="1"/>
    <w:lsdException w:locked="1" w:name="heading 7" w:qFormat="1" w:semiHidden="1" w:uiPriority="0" w:unhideWhenUsed="1"/>
    <w:lsdException w:locked="1" w:name="heading 8" w:qFormat="1" w:semiHidden="1" w:uiPriority="0" w:unhideWhenUsed="1"/>
    <w:lsdException w:locked="1"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locked="1" w:name="toc 1" w:uiPriority="0"/>
    <w:lsdException w:locked="1" w:name="toc 2" w:uiPriority="0"/>
    <w:lsdException w:locked="1" w:name="toc 3" w:uiPriority="0"/>
    <w:lsdException w:locked="1" w:name="toc 4" w:uiPriority="0"/>
    <w:lsdException w:locked="1" w:name="toc 5" w:uiPriority="0"/>
    <w:lsdException w:locked="1" w:name="toc 6" w:uiPriority="0"/>
    <w:lsdException w:locked="1" w:name="toc 7" w:uiPriority="0"/>
    <w:lsdException w:locked="1" w:name="toc 8" w:uiPriority="0"/>
    <w:lsdException w:locked="1" w:name="toc 9"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locked="1"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locked="1" w:name="Title" w:qFormat="1" w:uiPriority="0"/>
    <w:lsdException w:name="Closing" w:semiHidden="1" w:unhideWhenUsed="1"/>
    <w:lsdException w:name="Signature" w:semiHidden="1" w:unhideWhenUsed="1"/>
    <w:lsdException w:locked="1"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locked="1"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locked="1" w:name="Strong" w:qFormat="1" w:uiPriority="0"/>
    <w:lsdException w:locked="1"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locked="1"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ny" w:type="paragraph">
    <w:name w:val="Normal"/>
    <w:qFormat/>
    <w:rsid w:val="00492F48"/>
    <w:pPr>
      <w:spacing w:after="200" w:line="276" w:lineRule="auto"/>
    </w:pPr>
    <w:rPr>
      <w:lang w:eastAsia="en-US"/>
    </w:rPr>
  </w:style>
  <w:style w:styleId="Nagwek1" w:type="paragraph">
    <w:name w:val="heading 1"/>
    <w:basedOn w:val="Normalny"/>
    <w:next w:val="Normalny"/>
    <w:link w:val="Nagwek1Znak"/>
    <w:uiPriority w:val="99"/>
    <w:qFormat/>
    <w:rsid w:val="00491738"/>
    <w:pPr>
      <w:keepNext/>
      <w:keepLines/>
      <w:spacing w:after="0" w:before="480"/>
      <w:outlineLvl w:val="0"/>
    </w:pPr>
    <w:rPr>
      <w:rFonts w:ascii="Cambria" w:eastAsia="Times New Roman" w:hAnsi="Cambria"/>
      <w:b/>
      <w:bCs/>
      <w:color w:val="365F91"/>
      <w:sz w:val="28"/>
      <w:szCs w:val="28"/>
    </w:rPr>
  </w:style>
  <w:style w:styleId="Nagwek2" w:type="paragraph">
    <w:name w:val="heading 2"/>
    <w:basedOn w:val="Normalny"/>
    <w:next w:val="Normalny"/>
    <w:link w:val="Nagwek2Znak"/>
    <w:uiPriority w:val="99"/>
    <w:qFormat/>
    <w:rsid w:val="00491738"/>
    <w:pPr>
      <w:keepNext/>
      <w:keepLines/>
      <w:spacing w:after="0" w:before="200"/>
      <w:outlineLvl w:val="1"/>
    </w:pPr>
    <w:rPr>
      <w:rFonts w:ascii="Cambria" w:eastAsia="Times New Roman" w:hAnsi="Cambria"/>
      <w:b/>
      <w:bCs/>
      <w:color w:val="4F81BD"/>
      <w:sz w:val="26"/>
      <w:szCs w:val="26"/>
    </w:rPr>
  </w:style>
  <w:style w:styleId="Nagwek3" w:type="paragraph">
    <w:name w:val="heading 3"/>
    <w:basedOn w:val="Normalny"/>
    <w:next w:val="Normalny"/>
    <w:link w:val="Nagwek3Znak"/>
    <w:semiHidden/>
    <w:unhideWhenUsed/>
    <w:qFormat/>
    <w:locked/>
    <w:rsid w:val="009D1CC5"/>
    <w:pPr>
      <w:keepNext/>
      <w:keepLines/>
      <w:spacing w:after="0" w:before="40"/>
      <w:outlineLvl w:val="2"/>
    </w:pPr>
    <w:rPr>
      <w:rFonts w:asciiTheme="majorHAnsi" w:cstheme="majorBidi" w:eastAsiaTheme="majorEastAsia" w:hAnsiTheme="majorHAnsi"/>
      <w:color w:themeColor="accent1" w:themeShade="7F" w:val="243F60"/>
      <w:sz w:val="24"/>
      <w:szCs w:val="24"/>
    </w:rPr>
  </w:style>
  <w:style w:default="1" w:styleId="Domylnaczcionkaakapitu" w:type="character">
    <w:name w:val="Default Paragraph Font"/>
    <w:uiPriority w:val="1"/>
    <w:unhideWhenUsed/>
  </w:style>
  <w:style w:default="1" w:styleId="Standardowy" w:type="table">
    <w:name w:val="Normal Table"/>
    <w:uiPriority w:val="99"/>
    <w:semiHidden/>
    <w:unhideWhenUsed/>
    <w:tblPr>
      <w:tblInd w:type="dxa" w:w="0"/>
      <w:tblCellMar>
        <w:top w:type="dxa" w:w="0"/>
        <w:left w:type="dxa" w:w="108"/>
        <w:bottom w:type="dxa" w:w="0"/>
        <w:right w:type="dxa" w:w="108"/>
      </w:tblCellMar>
    </w:tblPr>
  </w:style>
  <w:style w:default="1" w:styleId="Bezlisty" w:type="numbering">
    <w:name w:val="No List"/>
    <w:uiPriority w:val="99"/>
    <w:semiHidden/>
    <w:unhideWhenUsed/>
  </w:style>
  <w:style w:customStyle="1" w:styleId="Nagwek1Znak" w:type="character">
    <w:name w:val="Nagłówek 1 Znak"/>
    <w:basedOn w:val="Domylnaczcionkaakapitu"/>
    <w:link w:val="Nagwek1"/>
    <w:uiPriority w:val="99"/>
    <w:locked/>
    <w:rsid w:val="00491738"/>
    <w:rPr>
      <w:rFonts w:ascii="Cambria" w:cs="Times New Roman" w:hAnsi="Cambria"/>
      <w:b/>
      <w:bCs/>
      <w:color w:val="365F91"/>
      <w:sz w:val="28"/>
      <w:szCs w:val="28"/>
    </w:rPr>
  </w:style>
  <w:style w:customStyle="1" w:styleId="Nagwek2Znak" w:type="character">
    <w:name w:val="Nagłówek 2 Znak"/>
    <w:basedOn w:val="Domylnaczcionkaakapitu"/>
    <w:link w:val="Nagwek2"/>
    <w:uiPriority w:val="99"/>
    <w:locked/>
    <w:rsid w:val="00491738"/>
    <w:rPr>
      <w:rFonts w:ascii="Cambria" w:cs="Times New Roman" w:hAnsi="Cambria"/>
      <w:b/>
      <w:bCs/>
      <w:color w:val="4F81BD"/>
      <w:sz w:val="26"/>
      <w:szCs w:val="26"/>
    </w:rPr>
  </w:style>
  <w:style w:styleId="Tabela-Siatka" w:type="table">
    <w:name w:val="Table Grid"/>
    <w:basedOn w:val="Standardowy"/>
    <w:uiPriority w:val="99"/>
    <w:rsid w:val="00491738"/>
    <w:rPr>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kapitzlist" w:type="paragraph">
    <w:name w:val="List Paragraph"/>
    <w:basedOn w:val="Normalny"/>
    <w:uiPriority w:val="99"/>
    <w:qFormat/>
    <w:rsid w:val="002F6EEE"/>
    <w:pPr>
      <w:ind w:left="720"/>
      <w:contextualSpacing/>
    </w:pPr>
  </w:style>
  <w:style w:customStyle="1" w:styleId="Styl3" w:type="numbering">
    <w:name w:val="Styl3"/>
    <w:rsid w:val="00A06E58"/>
    <w:pPr>
      <w:numPr>
        <w:numId w:val="4"/>
      </w:numPr>
    </w:pPr>
  </w:style>
  <w:style w:customStyle="1" w:styleId="Styl2" w:type="numbering">
    <w:name w:val="Styl2"/>
    <w:rsid w:val="00A06E58"/>
    <w:pPr>
      <w:numPr>
        <w:numId w:val="3"/>
      </w:numPr>
    </w:pPr>
  </w:style>
  <w:style w:customStyle="1" w:styleId="Styl1" w:type="numbering">
    <w:name w:val="Styl1"/>
    <w:rsid w:val="00A06E58"/>
    <w:pPr>
      <w:numPr>
        <w:numId w:val="2"/>
      </w:numPr>
    </w:pPr>
  </w:style>
  <w:style w:styleId="Hipercze" w:type="character">
    <w:name w:val="Hyperlink"/>
    <w:basedOn w:val="Domylnaczcionkaakapitu"/>
    <w:uiPriority w:val="99"/>
    <w:unhideWhenUsed/>
    <w:rsid w:val="00A06817"/>
    <w:rPr>
      <w:color w:themeColor="hyperlink" w:val="0000FF"/>
      <w:u w:val="single"/>
    </w:rPr>
  </w:style>
  <w:style w:styleId="Nierozpoznanawzmianka" w:type="character">
    <w:name w:val="Unresolved Mention"/>
    <w:basedOn w:val="Domylnaczcionkaakapitu"/>
    <w:uiPriority w:val="99"/>
    <w:semiHidden/>
    <w:unhideWhenUsed/>
    <w:rsid w:val="00A06817"/>
    <w:rPr>
      <w:color w:val="605E5C"/>
      <w:shd w:color="auto" w:fill="E1DFDD" w:val="clear"/>
    </w:rPr>
  </w:style>
  <w:style w:customStyle="1" w:styleId="Nagwek3Znak" w:type="character">
    <w:name w:val="Nagłówek 3 Znak"/>
    <w:basedOn w:val="Domylnaczcionkaakapitu"/>
    <w:link w:val="Nagwek3"/>
    <w:semiHidden/>
    <w:rsid w:val="009D1CC5"/>
    <w:rPr>
      <w:rFonts w:asciiTheme="majorHAnsi" w:cstheme="majorBidi" w:eastAsiaTheme="majorEastAsia" w:hAnsiTheme="majorHAnsi"/>
      <w:color w:themeColor="accent1" w:themeShade="7F" w:val="243F60"/>
      <w:sz w:val="24"/>
      <w:szCs w:val="24"/>
      <w:lang w:eastAsia="en-US"/>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690764">
      <w:bodyDiv w:val="1"/>
      <w:marLeft w:val="0"/>
      <w:marRight w:val="0"/>
      <w:marTop w:val="0"/>
      <w:marBottom w:val="0"/>
      <w:divBdr>
        <w:top w:val="none" w:sz="0" w:space="0" w:color="auto"/>
        <w:left w:val="none" w:sz="0" w:space="0" w:color="auto"/>
        <w:bottom w:val="none" w:sz="0" w:space="0" w:color="auto"/>
        <w:right w:val="none" w:sz="0" w:space="0" w:color="auto"/>
      </w:divBdr>
    </w:div>
    <w:div w:id="739136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7</Pages>
  <Words>2761</Words>
  <Characters>16567</Characters>
  <Application>Microsoft Office Word</Application>
  <DocSecurity>0</DocSecurity>
  <Lines>138</Lines>
  <Paragraphs>38</Paragraphs>
  <ScaleCrop>false</ScaleCrop>
  <HeadingPairs>
    <vt:vector size="2" baseType="variant">
      <vt:variant>
        <vt:lpstr>Tytuł</vt:lpstr>
      </vt:variant>
      <vt:variant>
        <vt:i4>1</vt:i4>
      </vt:variant>
    </vt:vector>
  </HeadingPairs>
  <TitlesOfParts>
    <vt:vector size="1" baseType="lpstr">
      <vt:lpstr>Nazwa:</vt:lpstr>
    </vt:vector>
  </TitlesOfParts>
  <Company/>
  <LinksUpToDate>false</LinksUpToDate>
  <CharactersWithSpaces>19290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Social, Cultural and Legal Challenges</dc:title>
  <dc:creator>Dr Karol Kasprowicz · Department of IT Law and Legal Professions · Faculty of Law and Administration, Maria Curie-Skłodowska University (UMCS), Lublin</dc:creator>
  <dc:language>en-GB</dc:language>
  <cp:keywords/>
  <dcterms:created xsi:type="dcterms:W3CDTF">2026-10-26T14:22:24Z</dcterms:created>
  <dcterms:modified xsi:type="dcterms:W3CDTF">2026-10-26T14:22:24Z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As of 20 October 2026</vt:lpwstr>
  </property>
  <property fmtid="{D5CDD505-2E9C-101B-9397-08002B2CF9AE}" pid="3" name="subtitle">
    <vt:lpwstr>Syllabus of the monographic lecture · academic year 2026/2027 · version 2</vt:lpwstr>
  </property>
</Properties>
</file>