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Sztuczna inteligencja. Wyzwania społeczne, kulturowe i prawne</w:t>
      </w:r>
    </w:p>
    <w:p>
      <w:pPr>
        <w:pStyle w:val="Subtitle"/>
      </w:pPr>
      <w:r>
        <w:t xml:space="preserve">Sylabus wykładu monograficznego · rok akademicki 2026/2027 · wersja 2</w:t>
      </w:r>
    </w:p>
    <w:p>
      <w:pPr>
        <w:pStyle w:val="Author"/>
      </w:pPr>
      <w:r>
        <w:t xml:space="preserve">dr Karol Kasprowicz · Katedra Prawa Informatycznego i Zawodów Prawniczych · WPiA UMCS</w:t>
      </w:r>
    </w:p>
    <w:p>
      <w:pPr>
        <w:pStyle w:val="Date"/>
      </w:pPr>
      <w:r>
        <w:t xml:space="preserve">Stan na 20.10.2026</w:t>
      </w:r>
    </w:p>
    <w:bookmarkStart w:id="10" w:name="informacje-ogólne"/>
    <w:p>
      <w:pPr>
        <w:pStyle w:val="Nagwek1"/>
      </w:pPr>
      <w:r>
        <w:t xml:space="preserve">Informacje ogólne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Treść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Nazwa</w:t>
            </w:r>
          </w:p>
        </w:tc>
        <w:tc>
          <w:tcPr/>
          <w:p>
            <w:pPr>
              <w:pStyle w:val="Compact"/>
            </w:pPr>
            <w:r>
              <w:t xml:space="preserve">Sztuczna inteligencja. Wyzwania społeczne, kulturowe i prawne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Rodzaj zajęć</w:t>
            </w:r>
          </w:p>
        </w:tc>
        <w:tc>
          <w:tcPr/>
          <w:p>
            <w:pPr>
              <w:pStyle w:val="Compact"/>
            </w:pPr>
            <w:r>
              <w:t xml:space="preserve">wykład monograficzny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Kierunek / poziom</w:t>
            </w:r>
          </w:p>
        </w:tc>
        <w:tc>
          <w:tcPr/>
          <w:p>
            <w:pPr>
              <w:pStyle w:val="Compact"/>
            </w:pPr>
            <w:r>
              <w:t xml:space="preserve">prawo, jednolite studia magisterskie, profil ogólnoakademicki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Prowadzący</w:t>
            </w:r>
          </w:p>
        </w:tc>
        <w:tc>
          <w:tcPr/>
          <w:p>
            <w:pPr>
              <w:pStyle w:val="Compact"/>
            </w:pPr>
            <w:r>
              <w:t xml:space="preserve">dr Karol Kasprowicz, karol.kasprowicz@mail.umcs.pl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 i miejsce</w:t>
            </w:r>
          </w:p>
        </w:tc>
        <w:tc>
          <w:tcPr/>
          <w:p>
            <w:pPr>
              <w:pStyle w:val="Compact"/>
            </w:pPr>
            <w:r>
              <w:t xml:space="preserve">piątki, Aula WPiA UMCS; 9 spotkań, łącznie 15 h: siedem po 1,5 h (12:45–14:15) i dwa po 2 h 15 min (6.11 i 20.11.2026, 12:45–15:00)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Język wykładowy</w:t>
            </w:r>
          </w:p>
        </w:tc>
        <w:tc>
          <w:tcPr/>
          <w:p>
            <w:pPr>
              <w:pStyle w:val="Compact"/>
            </w:pPr>
            <w:r>
              <w:t xml:space="preserve">polski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Strona WWW</w:t>
            </w:r>
          </w:p>
        </w:tc>
        <w:tc>
          <w:tcPr/>
          <w:p>
            <w:pPr>
              <w:pStyle w:val="Compact"/>
            </w:pPr>
            <w:r>
              <w:t xml:space="preserve">https://ingardenpl.github.io/ai-wyzwania/ (link także na https://kkasprowicz.com)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Wymagania wstępne</w:t>
            </w:r>
          </w:p>
        </w:tc>
        <w:tc>
          <w:tcPr/>
          <w:p>
            <w:pPr>
              <w:pStyle w:val="Compact"/>
            </w:pPr>
            <w:r>
              <w:t xml:space="preserve">brak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Sposób weryfikacji efektów</w:t>
            </w:r>
          </w:p>
        </w:tc>
        <w:tc>
          <w:tcPr/>
          <w:p>
            <w:pPr>
              <w:pStyle w:val="Compact"/>
            </w:pPr>
            <w:r>
              <w:t xml:space="preserve">zaliczenie na ocenę (K_W03, K_W07, K_W10, K_U03, K_U07, K_U08); aktywność (K_K01, K_K04, K_K05)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Praktyki zawodowe</w:t>
            </w:r>
          </w:p>
        </w:tc>
        <w:tc>
          <w:tcPr/>
          <w:p>
            <w:pPr>
              <w:pStyle w:val="Compact"/>
            </w:pPr>
            <w:r>
              <w:t xml:space="preserve">nie dotyczy</w:t>
            </w:r>
          </w:p>
        </w:tc>
      </w:tr>
    </w:tbl>
    <w:bookmarkStart w:id="9" w:name="godzinowe-ekwiwalenty-punktów-ects"/>
    <w:p>
      <w:pPr>
        <w:pStyle w:val="Nagwek2"/>
      </w:pPr>
      <w:r>
        <w:t xml:space="preserve">Godzinowe ekwiwalenty punktów 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 aktywności</w:t>
            </w:r>
          </w:p>
        </w:tc>
        <w:tc>
          <w:tcPr/>
          <w:p>
            <w:pPr>
              <w:pStyle w:val="Compact"/>
            </w:pPr>
            <w:r>
              <w:t xml:space="preserve">Godziny</w:t>
            </w:r>
          </w:p>
        </w:tc>
        <w:tc>
          <w:tcPr/>
          <w:p>
            <w:pPr>
              <w:pStyle w:val="Compact"/>
            </w:pPr>
            <w:r>
              <w:t xml:space="preserve">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Godziny kontaktowe: wykład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Praca własna: przygotowanie do zajęć (lektury, zadania z modelami generatywnymi, materiały na stronie kursu)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Praca własna: przygotowanie do zaliczenia (test, projekt lub własna propozycja)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Łącznie praca własna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Łącznie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bookmarkEnd w:id="9"/>
    <w:bookmarkEnd w:id="10"/>
    <w:bookmarkStart w:id="11" w:name="opis-przedmiotu"/>
    <w:p>
      <w:pPr>
        <w:pStyle w:val="Nagwek1"/>
      </w:pPr>
      <w:r>
        <w:t xml:space="preserve">Opis przedmiotu</w:t>
      </w:r>
    </w:p>
    <w:p>
      <w:pPr>
        <w:pStyle w:val="FirstParagraph"/>
      </w:pPr>
      <w:r>
        <w:t xml:space="preserve">Celem wykładu jest przygotowanie przyszłych prawników do krytycznej oceny wpływu sztucznej inteligencji (AI) na społeczeństwo, kulturę i porządek prawny oraz do świadomego korzystania z narzędzi AI w pracy prawniczej.</w:t>
      </w:r>
    </w:p>
    <w:p>
      <w:pPr>
        <w:pStyle w:val="BodyText"/>
      </w:pPr>
      <w:r>
        <w:t xml:space="preserve">Wykład łączy trzy perspektywy. Pierwsza jest technologiczno-historyczna: czym jest AI, jak powstawała i jak działają współczesne modele, w tym duże modele językowe. Druga dotyczy skutków społecznych i kulturowych: pracy i edukacji, etyki i stronniczości algorytmów, różnic kulturowych w podejściu do technologii oraz kosztów środowiskowych. Trzecia, najobszerniejsza, jest prawna: rozporządzenie o sztucznej inteligencji (AI Act) i polska ustawa o systemach sztucznej inteligencji, ochrona danych osobowych, prawo autorskie, odpowiedzialność cywilna i karna oraz zastosowania AI w wymiarze sprawiedliwości i zawodach prawniczych.</w:t>
      </w:r>
    </w:p>
    <w:p>
      <w:pPr>
        <w:pStyle w:val="BodyText"/>
      </w:pPr>
      <w:r>
        <w:t xml:space="preserve">Studia przypadków i orzecznictwo są omawiane w ramach każdego bloku tematycznego. Wykład wykorzystuje wyniki badań własnych zespołu WPiA UMCS dotyczących postaw prawników („Algorytm w Todze”) oraz uczniów i studentów („Algorytm w Ławce Szkolnej”) wobec AI. Materiały, slajdy, quizy i aplikacje interaktywne są dostępne na stronie kursu.</w:t>
      </w:r>
    </w:p>
    <w:bookmarkEnd w:id="11"/>
    <w:bookmarkStart w:id="16" w:name="efekty-uczenia-się"/>
    <w:p>
      <w:pPr>
        <w:pStyle w:val="Nagwek1"/>
      </w:pPr>
      <w:r>
        <w:t xml:space="preserve">Efekty uczenia się</w:t>
      </w:r>
    </w:p>
    <w:p>
      <w:pPr>
        <w:pStyle w:val="FirstParagraph"/>
      </w:pPr>
      <w:r>
        <w:t xml:space="preserve">Efekty przedmiotu odniesiono do kierunkowych efektów uczenia się dla kierunku prawo, jednolite studia magisterskie (załącznik nr 11 do uchwały Senatu UMCS nr XXIV-28.31/19).</w:t>
      </w:r>
    </w:p>
    <w:bookmarkStart w:id="12" w:name="wiedza-absolwent-zna-i-rozumie"/>
    <w:p>
      <w:pPr>
        <w:pStyle w:val="Nagwek2"/>
      </w:pPr>
      <w:r>
        <w:t xml:space="preserve">Wiedza: absolwent zna i rozumie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 przedmiotowy</w:t>
            </w:r>
          </w:p>
        </w:tc>
        <w:tc>
          <w:tcPr/>
          <w:p>
            <w:pPr>
              <w:pStyle w:val="Compact"/>
            </w:pPr>
            <w:r>
              <w:t xml:space="preserve">Efekt przedmiotowy</w:t>
            </w:r>
          </w:p>
        </w:tc>
        <w:tc>
          <w:tcPr/>
          <w:p>
            <w:pPr>
              <w:pStyle w:val="Compact"/>
            </w:pPr>
            <w:r>
              <w:t xml:space="preserve">Efekt kierunkowy</w:t>
            </w:r>
          </w:p>
        </w:tc>
        <w:tc>
          <w:tcPr/>
          <w:p>
            <w:pPr>
              <w:pStyle w:val="Compact"/>
            </w:pPr>
            <w:r>
              <w:t xml:space="preserve">PRK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w pogłębionym stopniu unijne i krajowe źródła prawa dotyczące AI, w szczególności AI Act, RODO, DSA i ustawę o systemach sztucznej inteligencji, oraz ich wzajemne relacje</w:t>
            </w:r>
          </w:p>
        </w:tc>
        <w:tc>
          <w:tcPr/>
          <w:p>
            <w:pPr>
              <w:pStyle w:val="Compact"/>
            </w:pPr>
            <w:r>
              <w:t xml:space="preserve">K_W03</w:t>
            </w:r>
          </w:p>
        </w:tc>
        <w:tc>
          <w:tcPr/>
          <w:p>
            <w:pPr>
              <w:pStyle w:val="Compact"/>
            </w:pPr>
            <w:r>
              <w:t xml:space="preserve">P7S_WG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dylematy współczesnej cywilizacji związane z rozwojem AI, w tym dylematy etyczne oraz zmiany zasad odpowiedzialności przedstawicieli zawodów prawniczych korzystających z AI</w:t>
            </w:r>
          </w:p>
        </w:tc>
        <w:tc>
          <w:tcPr/>
          <w:p>
            <w:pPr>
              <w:pStyle w:val="Compact"/>
            </w:pPr>
            <w:r>
              <w:t xml:space="preserve">K_W07</w:t>
            </w:r>
          </w:p>
        </w:tc>
        <w:tc>
          <w:tcPr/>
          <w:p>
            <w:pPr>
              <w:pStyle w:val="Compact"/>
            </w:pPr>
            <w:r>
              <w:t xml:space="preserve">P7S_WK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podstawy działania systemów AI, ich ekonomiczne, społeczne i środowiskowe uwarunkowania oraz problemy ochrony prawa autorskiego i własności intelektualnej związane z trenowaniem modeli i treściami generowanymi przez AI</w:t>
            </w:r>
          </w:p>
        </w:tc>
        <w:tc>
          <w:tcPr/>
          <w:p>
            <w:pPr>
              <w:pStyle w:val="Compact"/>
            </w:pPr>
            <w:r>
              <w:t xml:space="preserve">K_W10</w:t>
            </w:r>
          </w:p>
        </w:tc>
        <w:tc>
          <w:tcPr/>
          <w:p>
            <w:pPr>
              <w:pStyle w:val="Compact"/>
            </w:pPr>
            <w:r>
              <w:t xml:space="preserve">P7S_WK</w:t>
            </w:r>
          </w:p>
        </w:tc>
      </w:tr>
    </w:tbl>
    <w:bookmarkEnd w:id="12"/>
    <w:bookmarkStart w:id="13" w:name="umiejętności-absolwent-potrafi"/>
    <w:p>
      <w:pPr>
        <w:pStyle w:val="Nagwek2"/>
      </w:pPr>
      <w:r>
        <w:t xml:space="preserve">Umiejętności: absolwent potrafi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 przedmiotowy</w:t>
            </w:r>
          </w:p>
        </w:tc>
        <w:tc>
          <w:tcPr/>
          <w:p>
            <w:pPr>
              <w:pStyle w:val="Compact"/>
            </w:pPr>
            <w:r>
              <w:t xml:space="preserve">Efekt przedmiotowy</w:t>
            </w:r>
          </w:p>
        </w:tc>
        <w:tc>
          <w:tcPr/>
          <w:p>
            <w:pPr>
              <w:pStyle w:val="Compact"/>
            </w:pPr>
            <w:r>
              <w:t xml:space="preserve">Efekt kierunkowy</w:t>
            </w:r>
          </w:p>
        </w:tc>
        <w:tc>
          <w:tcPr/>
          <w:p>
            <w:pPr>
              <w:pStyle w:val="Compact"/>
            </w:pPr>
            <w:r>
              <w:t xml:space="preserve">PRK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dobierać i stosować narzędzia AI w pracy prawnika, weryfikując ich wyniki i oceniając ryzyko błędów, w tym tzw. halucynacji</w:t>
            </w:r>
          </w:p>
        </w:tc>
        <w:tc>
          <w:tcPr/>
          <w:p>
            <w:pPr>
              <w:pStyle w:val="Compact"/>
            </w:pPr>
            <w:r>
              <w:t xml:space="preserve">K_U03</w:t>
            </w:r>
          </w:p>
        </w:tc>
        <w:tc>
          <w:tcPr/>
          <w:p>
            <w:pPr>
              <w:pStyle w:val="Compact"/>
            </w:pPr>
            <w:r>
              <w:t xml:space="preserve">P7S_UW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prowadzić debatę o regulacji AI i jej wpływie na funkcje prawa oraz rolę zawodów prawniczych, posługując się argumentami prawnymi, etycznymi i empirycznymi</w:t>
            </w:r>
          </w:p>
        </w:tc>
        <w:tc>
          <w:tcPr/>
          <w:p>
            <w:pPr>
              <w:pStyle w:val="Compact"/>
            </w:pPr>
            <w:r>
              <w:t xml:space="preserve">K_U07</w:t>
            </w:r>
          </w:p>
        </w:tc>
        <w:tc>
          <w:tcPr/>
          <w:p>
            <w:pPr>
              <w:pStyle w:val="Compact"/>
            </w:pPr>
            <w:r>
              <w:t xml:space="preserve">P7S_UK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przedstawić pisemnie lub ustnie własną ocenę wybranego problemu prawnego związanego z AI, z wykorzystaniem źródeł prawa, orzecznictwa i literatury</w:t>
            </w:r>
          </w:p>
        </w:tc>
        <w:tc>
          <w:tcPr/>
          <w:p>
            <w:pPr>
              <w:pStyle w:val="Compact"/>
            </w:pPr>
            <w:r>
              <w:t xml:space="preserve">K_U08</w:t>
            </w:r>
          </w:p>
        </w:tc>
        <w:tc>
          <w:tcPr/>
          <w:p>
            <w:pPr>
              <w:pStyle w:val="Compact"/>
            </w:pPr>
            <w:r>
              <w:t xml:space="preserve">P7S_UK</w:t>
            </w:r>
          </w:p>
        </w:tc>
      </w:tr>
    </w:tbl>
    <w:bookmarkEnd w:id="13"/>
    <w:bookmarkStart w:id="14" w:name="X4b03d05a50a3ba97fa1ed55b7b4247bd2a9ffb0"/>
    <w:p>
      <w:pPr>
        <w:pStyle w:val="Nagwek2"/>
      </w:pPr>
      <w:r>
        <w:t xml:space="preserve">Kompetencje społeczne: absolwent jest gotów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 przedmiotowy</w:t>
            </w:r>
          </w:p>
        </w:tc>
        <w:tc>
          <w:tcPr/>
          <w:p>
            <w:pPr>
              <w:pStyle w:val="Compact"/>
            </w:pPr>
            <w:r>
              <w:t xml:space="preserve">Efekt przedmiotowy</w:t>
            </w:r>
          </w:p>
        </w:tc>
        <w:tc>
          <w:tcPr/>
          <w:p>
            <w:pPr>
              <w:pStyle w:val="Compact"/>
            </w:pPr>
            <w:r>
              <w:t xml:space="preserve">Efekt kierunkowy</w:t>
            </w:r>
          </w:p>
        </w:tc>
        <w:tc>
          <w:tcPr/>
          <w:p>
            <w:pPr>
              <w:pStyle w:val="Compact"/>
            </w:pPr>
            <w:r>
              <w:t xml:space="preserve">PRK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krytycznej oceny treści generowanych przez systemy AI i informacji o AI, w tym rozpoznawania granic własnej wiedzy</w:t>
            </w:r>
          </w:p>
        </w:tc>
        <w:tc>
          <w:tcPr/>
          <w:p>
            <w:pPr>
              <w:pStyle w:val="Compact"/>
            </w:pPr>
            <w:r>
              <w:t xml:space="preserve">K_K01</w:t>
            </w:r>
          </w:p>
        </w:tc>
        <w:tc>
          <w:tcPr/>
          <w:p>
            <w:pPr>
              <w:pStyle w:val="Compact"/>
            </w:pPr>
            <w:r>
              <w:t xml:space="preserve">P7S_KK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przestrzegania i upowszechniania wzorców etycznego i praworządnego korzystania z AI w pracy prawnika</w:t>
            </w:r>
          </w:p>
        </w:tc>
        <w:tc>
          <w:tcPr/>
          <w:p>
            <w:pPr>
              <w:pStyle w:val="Compact"/>
            </w:pPr>
            <w:r>
              <w:t xml:space="preserve">K_K04</w:t>
            </w:r>
          </w:p>
        </w:tc>
        <w:tc>
          <w:tcPr/>
          <w:p>
            <w:pPr>
              <w:pStyle w:val="Compact"/>
            </w:pPr>
            <w:r>
              <w:t xml:space="preserve">P7S_KR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rozwijania dorobku i podtrzymywania etosu zawodów prawniczych przez odpowiedzialne wdrażanie innowacji opartych na AI</w:t>
            </w:r>
          </w:p>
        </w:tc>
        <w:tc>
          <w:tcPr/>
          <w:p>
            <w:pPr>
              <w:pStyle w:val="Compact"/>
            </w:pPr>
            <w:r>
              <w:t xml:space="preserve">K_K05</w:t>
            </w:r>
          </w:p>
        </w:tc>
        <w:tc>
          <w:tcPr/>
          <w:p>
            <w:pPr>
              <w:pStyle w:val="Compact"/>
            </w:pPr>
            <w:r>
              <w:t xml:space="preserve">P7S_KR</w:t>
            </w:r>
          </w:p>
        </w:tc>
      </w:tr>
    </w:tbl>
    <w:bookmarkEnd w:id="14"/>
    <w:bookmarkStart w:id="15" w:name="macierz-efekty-treści-i-weryfikacja"/>
    <w:p>
      <w:pPr>
        <w:pStyle w:val="Nagwek2"/>
      </w:pPr>
      <w:r>
        <w:t xml:space="preserve">Macierz: efekty, treści i weryfikacja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Efekt</w:t>
            </w:r>
          </w:p>
        </w:tc>
        <w:tc>
          <w:tcPr/>
          <w:p>
            <w:pPr>
              <w:pStyle w:val="Compact"/>
            </w:pPr>
            <w:r>
              <w:t xml:space="preserve">Spotkania</w:t>
            </w:r>
          </w:p>
        </w:tc>
        <w:tc>
          <w:tcPr/>
          <w:p>
            <w:pPr>
              <w:pStyle w:val="Compact"/>
            </w:pPr>
            <w:r>
              <w:t xml:space="preserve">Weryfikacja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1, 7, 8</w:t>
            </w:r>
          </w:p>
        </w:tc>
        <w:tc>
          <w:tcPr/>
          <w:p>
            <w:pPr>
              <w:pStyle w:val="Compact"/>
            </w:pPr>
            <w:r>
              <w:t xml:space="preserve">test (pytania zamknięte i otwarte) lub projekt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4, 5, 8, 9</w:t>
            </w:r>
          </w:p>
        </w:tc>
        <w:tc>
          <w:tcPr/>
          <w:p>
            <w:pPr>
              <w:pStyle w:val="Compact"/>
            </w:pPr>
            <w:r>
              <w:t xml:space="preserve">test, projekt lub praca własna (ścieżka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2, 3, 6, 7, 10</w:t>
            </w:r>
          </w:p>
        </w:tc>
        <w:tc>
          <w:tcPr/>
          <w:p>
            <w:pPr>
              <w:pStyle w:val="Compact"/>
            </w:pPr>
            <w:r>
              <w:t xml:space="preserve">test, projekt lub praca własna (ścieżka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3, 8</w:t>
            </w:r>
          </w:p>
        </w:tc>
        <w:tc>
          <w:tcPr/>
          <w:p>
            <w:pPr>
              <w:pStyle w:val="Compact"/>
            </w:pPr>
            <w:r>
              <w:t xml:space="preserve">zadania z modelami generatywnymi, pytanie otwarte w teście, projekt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5, 6, 9</w:t>
            </w:r>
          </w:p>
        </w:tc>
        <w:tc>
          <w:tcPr/>
          <w:p>
            <w:pPr>
              <w:pStyle w:val="Compact"/>
            </w:pPr>
            <w:r>
              <w:t xml:space="preserve">aktywność w dyskusji, pytanie otwarte w teście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wszystkie</w:t>
            </w:r>
          </w:p>
        </w:tc>
        <w:tc>
          <w:tcPr/>
          <w:p>
            <w:pPr>
              <w:pStyle w:val="Compact"/>
            </w:pPr>
            <w:r>
              <w:t xml:space="preserve">projekt albo pytania otwarte w teście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3, 5, 8</w:t>
            </w:r>
          </w:p>
        </w:tc>
        <w:tc>
          <w:tcPr/>
          <w:p>
            <w:pPr>
              <w:pStyle w:val="Compact"/>
            </w:pPr>
            <w:r>
              <w:t xml:space="preserve">aktywność, zadania z modelami generatywnymi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5, 8</w:t>
            </w:r>
          </w:p>
        </w:tc>
        <w:tc>
          <w:tcPr/>
          <w:p>
            <w:pPr>
              <w:pStyle w:val="Compact"/>
            </w:pPr>
            <w:r>
              <w:t xml:space="preserve">aktywność, projekt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4, 8, 9</w:t>
            </w:r>
          </w:p>
        </w:tc>
        <w:tc>
          <w:tcPr/>
          <w:p>
            <w:pPr>
              <w:pStyle w:val="Compact"/>
            </w:pPr>
            <w:r>
              <w:t xml:space="preserve">aktywność, dyskusja</w:t>
            </w:r>
          </w:p>
        </w:tc>
      </w:tr>
    </w:tbl>
    <w:bookmarkEnd w:id="15"/>
    <w:bookmarkEnd w:id="16"/>
    <w:bookmarkStart w:id="17" w:name="zakres-tematów"/>
    <w:p>
      <w:pPr>
        <w:pStyle w:val="Nagwek1"/>
      </w:pPr>
      <w:r>
        <w:t xml:space="preserve">Zakres tematów</w:t>
      </w:r>
    </w:p>
    <w:p>
      <w:pPr>
        <w:pStyle w:val="FirstParagraph"/>
      </w:pPr>
      <w:r>
        <w:t xml:space="preserve">Dziesięć tematów po 1,5 h na dziewięciu spotkaniach. Temat 4 dzieli się między dwa dłuższe spotkania: część o pracy (6.11.2026, razem z tematem 3) i część o edukacji (20.11.2026, razem z tematem 5). Daty spotkań są na stronie kursu (mapa i lista dzielnic).</w:t>
      </w:r>
    </w:p>
    <w:p>
      <w:pPr>
        <w:pStyle w:val="BodyText"/>
      </w:pPr>
      <w:r>
        <w:rPr>
          <w:b/>
          <w:bCs/>
        </w:rPr>
        <w:t xml:space="preserve">Temat 1. Wprowadzenie. Czym jest sztuczna inteligencja?</w:t>
      </w:r>
    </w:p>
    <w:p>
      <w:pPr>
        <w:pStyle w:val="Compact"/>
        <w:numPr>
          <w:ilvl w:val="0"/>
          <w:numId w:val="1001"/>
        </w:numPr>
      </w:pPr>
      <w:r>
        <w:t xml:space="preserve">Sprawy organizacyjne: zasady zaliczenia, strona kursu, polityka korzystania z AI na zajęciach.</w:t>
      </w:r>
    </w:p>
    <w:p>
      <w:pPr>
        <w:pStyle w:val="Compact"/>
        <w:numPr>
          <w:ilvl w:val="0"/>
          <w:numId w:val="1001"/>
        </w:numPr>
      </w:pPr>
      <w:r>
        <w:t xml:space="preserve">Definicje AI: Turing, McCarthy, OECD, definicja systemu AI w art. 3 pkt 1 AI Act.</w:t>
      </w:r>
    </w:p>
    <w:p>
      <w:pPr>
        <w:pStyle w:val="Compact"/>
        <w:numPr>
          <w:ilvl w:val="0"/>
          <w:numId w:val="1001"/>
        </w:numPr>
      </w:pPr>
      <w:r>
        <w:t xml:space="preserve">Podstawowe pojęcia: model, dane treningowe, parametry, uczenie maszynowe, głębokie uczenie, przetwarzanie języka naturalnego, AI generatywna.</w:t>
      </w:r>
    </w:p>
    <w:p>
      <w:pPr>
        <w:pStyle w:val="Compact"/>
        <w:numPr>
          <w:ilvl w:val="0"/>
          <w:numId w:val="1001"/>
        </w:numPr>
      </w:pPr>
      <w:r>
        <w:t xml:space="preserve">ANI, AGI, ASI. Test Turinga i jego współczesne krytyki.</w:t>
      </w:r>
    </w:p>
    <w:p>
      <w:pPr>
        <w:pStyle w:val="Compact"/>
        <w:numPr>
          <w:ilvl w:val="0"/>
          <w:numId w:val="1001"/>
        </w:numPr>
      </w:pPr>
      <w:r>
        <w:t xml:space="preserve">Przegląd zastosowań AI, w tym w praktyce prawniczej. Kompetencje w zakresie AI (art. 4 AI Act).</w:t>
      </w:r>
    </w:p>
    <w:p>
      <w:pPr>
        <w:pStyle w:val="FirstParagraph"/>
      </w:pPr>
      <w:r>
        <w:rPr>
          <w:b/>
          <w:bCs/>
        </w:rPr>
        <w:t xml:space="preserve">Temat 2. Historia sztucznej inteligencji: od automatów do modeli fundamentalnych</w:t>
      </w:r>
    </w:p>
    <w:p>
      <w:pPr>
        <w:pStyle w:val="Compact"/>
        <w:numPr>
          <w:ilvl w:val="0"/>
          <w:numId w:val="1002"/>
        </w:numPr>
      </w:pPr>
      <w:r>
        <w:t xml:space="preserve">Prehistoria: mity, automaty, Lullus i Leibniz, maszyna analityczna.</w:t>
      </w:r>
    </w:p>
    <w:p>
      <w:pPr>
        <w:pStyle w:val="Compact"/>
        <w:numPr>
          <w:ilvl w:val="0"/>
          <w:numId w:val="1002"/>
        </w:numPr>
      </w:pPr>
      <w:r>
        <w:t xml:space="preserve">Fundamenty: model neuronu McCullocha i Pittsa (1943), Turing (1950), konferencja w Dartmouth (1956), perceptron Rosenblatta (1958).</w:t>
      </w:r>
    </w:p>
    <w:p>
      <w:pPr>
        <w:pStyle w:val="Compact"/>
        <w:numPr>
          <w:ilvl w:val="0"/>
          <w:numId w:val="1002"/>
        </w:numPr>
      </w:pPr>
      <w:r>
        <w:t xml:space="preserve">Złote lata (1956–1974), pierwsza zima AI (1974–1980), renesans systemów ekspertowych (1980–1987), w tym pierwsze systemy prawnicze, druga zima AI (1987–1993).</w:t>
      </w:r>
    </w:p>
    <w:p>
      <w:pPr>
        <w:pStyle w:val="Compact"/>
        <w:numPr>
          <w:ilvl w:val="0"/>
          <w:numId w:val="1002"/>
        </w:numPr>
      </w:pPr>
      <w:r>
        <w:t xml:space="preserve">Przełomy: Deep Blue (1997), ImageNet (2012), AlphaGo i „ruch 37” (2016), architektura transformera (2017), ChatGPT (2022), agenci AI (2024–2026).</w:t>
      </w:r>
    </w:p>
    <w:p>
      <w:pPr>
        <w:pStyle w:val="FirstParagraph"/>
      </w:pPr>
      <w:r>
        <w:rPr>
          <w:b/>
          <w:bCs/>
        </w:rPr>
        <w:t xml:space="preserve">Temat 3. Jak działa AI? Podstawy technologiczne dla prawników</w:t>
      </w:r>
    </w:p>
    <w:p>
      <w:pPr>
        <w:pStyle w:val="Compact"/>
        <w:numPr>
          <w:ilvl w:val="0"/>
          <w:numId w:val="1003"/>
        </w:numPr>
      </w:pPr>
      <w:r>
        <w:t xml:space="preserve">Od reguł do danych: systemy ekspertowe a uczenie maszynowe.</w:t>
      </w:r>
    </w:p>
    <w:p>
      <w:pPr>
        <w:pStyle w:val="Compact"/>
        <w:numPr>
          <w:ilvl w:val="0"/>
          <w:numId w:val="1003"/>
        </w:numPr>
      </w:pPr>
      <w:r>
        <w:t xml:space="preserve">Uczenie nadzorowane, nienadzorowane i ze wzmocnieniem.</w:t>
      </w:r>
    </w:p>
    <w:p>
      <w:pPr>
        <w:pStyle w:val="Compact"/>
        <w:numPr>
          <w:ilvl w:val="0"/>
          <w:numId w:val="1003"/>
        </w:numPr>
      </w:pPr>
      <w:r>
        <w:t xml:space="preserve">Sieci neuronowe i głębokie uczenie. Mózg a sieć neuronowa: granice analogii.</w:t>
      </w:r>
    </w:p>
    <w:p>
      <w:pPr>
        <w:pStyle w:val="Compact"/>
        <w:numPr>
          <w:ilvl w:val="0"/>
          <w:numId w:val="1003"/>
        </w:numPr>
      </w:pPr>
      <w:r>
        <w:t xml:space="preserve">Duże modele językowe: tokeny, przewidywanie kolejnego tokenu, mechanizm uwagi.</w:t>
      </w:r>
    </w:p>
    <w:p>
      <w:pPr>
        <w:pStyle w:val="Compact"/>
        <w:numPr>
          <w:ilvl w:val="0"/>
          <w:numId w:val="1003"/>
        </w:numPr>
      </w:pPr>
      <w:r>
        <w:t xml:space="preserve">Halucynacje i ich przyczyny. Problem czarnej skrzynki i wyjaśnialna AI (XAI).</w:t>
      </w:r>
    </w:p>
    <w:p>
      <w:pPr>
        <w:pStyle w:val="Compact"/>
        <w:numPr>
          <w:ilvl w:val="0"/>
          <w:numId w:val="1003"/>
        </w:numPr>
      </w:pPr>
      <w:r>
        <w:t xml:space="preserve">Modele ogólnego przeznaczenia (GPAI), modele multimodalne, agenci AI.</w:t>
      </w:r>
    </w:p>
    <w:p>
      <w:pPr>
        <w:pStyle w:val="FirstParagraph"/>
      </w:pPr>
      <w:r>
        <w:rPr>
          <w:b/>
          <w:bCs/>
        </w:rPr>
        <w:t xml:space="preserve">Temat 4. Społeczne wyzwania AI (I): praca i edukacja</w:t>
      </w:r>
    </w:p>
    <w:p>
      <w:pPr>
        <w:pStyle w:val="Compact"/>
        <w:numPr>
          <w:ilvl w:val="0"/>
          <w:numId w:val="1004"/>
        </w:numPr>
      </w:pPr>
      <w:r>
        <w:t xml:space="preserve">Automatyzacja a augmentacja pracy. „Poszarpana granica” technologii: badania BCG i Harvard Business School.</w:t>
      </w:r>
    </w:p>
    <w:p>
      <w:pPr>
        <w:pStyle w:val="Compact"/>
        <w:numPr>
          <w:ilvl w:val="0"/>
          <w:numId w:val="1004"/>
        </w:numPr>
      </w:pPr>
      <w:r>
        <w:t xml:space="preserve">Sektory i zawody najbardziej dotknięte zmianą, w tym zawody prawnicze.</w:t>
      </w:r>
    </w:p>
    <w:p>
      <w:pPr>
        <w:pStyle w:val="Compact"/>
        <w:numPr>
          <w:ilvl w:val="0"/>
          <w:numId w:val="1004"/>
        </w:numPr>
      </w:pPr>
      <w:r>
        <w:t xml:space="preserve">Niewidzialna praca przy danych, prekaryzacja, propozycje dochodu podstawowego.</w:t>
      </w:r>
    </w:p>
    <w:p>
      <w:pPr>
        <w:pStyle w:val="Compact"/>
        <w:numPr>
          <w:ilvl w:val="0"/>
          <w:numId w:val="1004"/>
        </w:numPr>
      </w:pPr>
      <w:r>
        <w:t xml:space="preserve">Edukacja: uczciwość akademicka, „iluzja efektywności poznawczej”, wyniki badania „Algorytm w Ławce Szkolnej”.</w:t>
      </w:r>
    </w:p>
    <w:p>
      <w:pPr>
        <w:pStyle w:val="Compact"/>
        <w:numPr>
          <w:ilvl w:val="0"/>
          <w:numId w:val="1004"/>
        </w:numPr>
      </w:pPr>
      <w:r>
        <w:t xml:space="preserve">Przekwalifikowanie i kompetencje cyfrowe pracowników.</w:t>
      </w:r>
    </w:p>
    <w:p>
      <w:pPr>
        <w:pStyle w:val="FirstParagraph"/>
      </w:pPr>
      <w:r>
        <w:rPr>
          <w:b/>
          <w:bCs/>
        </w:rPr>
        <w:t xml:space="preserve">Temat 5. Społeczne wyzwania AI (II): etyka, uprzedzenia, przejrzystość</w:t>
      </w:r>
    </w:p>
    <w:p>
      <w:pPr>
        <w:pStyle w:val="Compact"/>
        <w:numPr>
          <w:ilvl w:val="0"/>
          <w:numId w:val="1005"/>
        </w:numPr>
      </w:pPr>
      <w:r>
        <w:t xml:space="preserve">Etyczne ramy AI: wytyczne grupy ekspertów wysokiego szczebla (2019), rekomendacja UNESCO (2021), zasady OECD.</w:t>
      </w:r>
    </w:p>
    <w:p>
      <w:pPr>
        <w:pStyle w:val="Compact"/>
        <w:numPr>
          <w:ilvl w:val="0"/>
          <w:numId w:val="1005"/>
        </w:numPr>
      </w:pPr>
      <w:r>
        <w:t xml:space="preserve">Stronniczość algorytmiczna: rekrutacja, ocena ryzyka recydywy (State v. Loomis), system SyRI (Holandia).</w:t>
      </w:r>
    </w:p>
    <w:p>
      <w:pPr>
        <w:pStyle w:val="Compact"/>
        <w:numPr>
          <w:ilvl w:val="0"/>
          <w:numId w:val="1005"/>
        </w:numPr>
      </w:pPr>
      <w:r>
        <w:t xml:space="preserve">Przejrzystość i wyjaśnialność decyzji: art. 22 RODO, wyroki TSUE w sprawach SCHUFA (C-634/21) i Dun &amp; Bradstreet Austria (C-203/22).</w:t>
      </w:r>
    </w:p>
    <w:p>
      <w:pPr>
        <w:pStyle w:val="Compact"/>
        <w:numPr>
          <w:ilvl w:val="0"/>
          <w:numId w:val="1005"/>
        </w:numPr>
      </w:pPr>
      <w:r>
        <w:t xml:space="preserve">Moderacja treści i prywatna cenzura: sprawa SIN przeciwko Meta, mechanizmy DSA.</w:t>
      </w:r>
    </w:p>
    <w:p>
      <w:pPr>
        <w:pStyle w:val="Compact"/>
        <w:numPr>
          <w:ilvl w:val="0"/>
          <w:numId w:val="1005"/>
        </w:numPr>
      </w:pPr>
      <w:r>
        <w:t xml:space="preserve">Dezinformacja i deepfake. Optymalizacja pod zaangażowanie a prawda („Moloch’s Bargain”).</w:t>
      </w:r>
    </w:p>
    <w:p>
      <w:pPr>
        <w:pStyle w:val="FirstParagraph"/>
      </w:pPr>
      <w:r>
        <w:rPr>
          <w:b/>
          <w:bCs/>
        </w:rPr>
        <w:t xml:space="preserve">Temat 6. Kulturowe wyzwania AI: regulacja, język, twórczość</w:t>
      </w:r>
    </w:p>
    <w:p>
      <w:pPr>
        <w:pStyle w:val="Compact"/>
        <w:numPr>
          <w:ilvl w:val="0"/>
          <w:numId w:val="1006"/>
        </w:numPr>
      </w:pPr>
      <w:r>
        <w:t xml:space="preserve">Regulacja jako wybór kulturowy: podejście oparte na ryzyku (UE), na wpływie i rozwoju (Korea Płd., Japonia), rynkowe (USA), państwowe (Chiny).</w:t>
      </w:r>
    </w:p>
    <w:p>
      <w:pPr>
        <w:pStyle w:val="Compact"/>
        <w:numPr>
          <w:ilvl w:val="0"/>
          <w:numId w:val="1006"/>
        </w:numPr>
      </w:pPr>
      <w:r>
        <w:t xml:space="preserve">Heurystyki poznawcze i teoria gier w tworzeniu regulacji AI.</w:t>
      </w:r>
    </w:p>
    <w:p>
      <w:pPr>
        <w:pStyle w:val="Compact"/>
        <w:numPr>
          <w:ilvl w:val="0"/>
          <w:numId w:val="1006"/>
        </w:numPr>
      </w:pPr>
      <w:r>
        <w:t xml:space="preserve">Język i kultura w danych treningowych: dominacja języka angielskiego, polskie modele językowe (PLLuM, Bielik), lokalne wartości w systemach globalnych.</w:t>
      </w:r>
    </w:p>
    <w:p>
      <w:pPr>
        <w:pStyle w:val="Compact"/>
        <w:numPr>
          <w:ilvl w:val="0"/>
          <w:numId w:val="1006"/>
        </w:numPr>
      </w:pPr>
      <w:r>
        <w:t xml:space="preserve">AI a twórczość: kreatywność maszyn, sztuka generatywna, deepfake w kulturze.</w:t>
      </w:r>
    </w:p>
    <w:p>
      <w:pPr>
        <w:pStyle w:val="Compact"/>
        <w:numPr>
          <w:ilvl w:val="0"/>
          <w:numId w:val="1006"/>
        </w:numPr>
      </w:pPr>
      <w:r>
        <w:t xml:space="preserve">Wyobrażenia AI w kulturze: Lem, Asimov, „Łowca androidów”, „Czarne lustro”. Antropomorfizacja.</w:t>
      </w:r>
    </w:p>
    <w:p>
      <w:pPr>
        <w:pStyle w:val="FirstParagraph"/>
      </w:pPr>
      <w:r>
        <w:rPr>
          <w:b/>
          <w:bCs/>
        </w:rPr>
        <w:t xml:space="preserve">Temat 7. Prawne wyzwania AI (I): ramy regulacyjne i prawo autorskie</w:t>
      </w:r>
    </w:p>
    <w:p>
      <w:pPr>
        <w:pStyle w:val="Compact"/>
        <w:numPr>
          <w:ilvl w:val="0"/>
          <w:numId w:val="1007"/>
        </w:numPr>
      </w:pPr>
      <w:r>
        <w:t xml:space="preserve">AI Act: definicje, podejście oparte na ryzyku, praktyki zakazane, systemy wysokiego ryzyka, obowiązki przejrzystości (art. 50), modele AI ogólnego przeznaczenia.</w:t>
      </w:r>
    </w:p>
    <w:p>
      <w:pPr>
        <w:pStyle w:val="Compact"/>
        <w:numPr>
          <w:ilvl w:val="0"/>
          <w:numId w:val="1007"/>
        </w:numPr>
      </w:pPr>
      <w:r>
        <w:t xml:space="preserve">Harmonogram stosowania AI Act po zmianach wprowadzonych rozporządzeniem (UE) 2026/1744.</w:t>
      </w:r>
    </w:p>
    <w:p>
      <w:pPr>
        <w:pStyle w:val="Compact"/>
        <w:numPr>
          <w:ilvl w:val="0"/>
          <w:numId w:val="1007"/>
        </w:numPr>
      </w:pPr>
      <w:r>
        <w:t xml:space="preserve">Ustawa z 3 lipca 2026 r. o systemach sztucznej inteligencji: Komisja Rozwoju i Bezpieczeństwa Sztucznej Inteligencji, kontrole, sankcje, piaskownice regulacyjne.</w:t>
      </w:r>
    </w:p>
    <w:p>
      <w:pPr>
        <w:pStyle w:val="Compact"/>
        <w:numPr>
          <w:ilvl w:val="0"/>
          <w:numId w:val="1007"/>
        </w:numPr>
      </w:pPr>
      <w:r>
        <w:t xml:space="preserve">Konwencja ramowa Rady Europy o sztucznej inteligencji. DSA i DMA jako otoczenie regulacyjne.</w:t>
      </w:r>
    </w:p>
    <w:p>
      <w:pPr>
        <w:pStyle w:val="Compact"/>
        <w:numPr>
          <w:ilvl w:val="0"/>
          <w:numId w:val="1007"/>
        </w:numPr>
      </w:pPr>
      <w:r>
        <w:t xml:space="preserve">Prawo autorskie: czy wytwór AI jest utworem, eksploracja tekstów i danych przy trenowaniu modeli, spory sądowe (Thaler v. Perlmutter, Getty Images v. Stability AI, GEMA v. OpenAI, New York Times v. OpenAI i Microsoft, Bartz v. Anthropic).</w:t>
      </w:r>
    </w:p>
    <w:p>
      <w:pPr>
        <w:pStyle w:val="FirstParagraph"/>
      </w:pPr>
      <w:r>
        <w:rPr>
          <w:b/>
          <w:bCs/>
        </w:rPr>
        <w:t xml:space="preserve">Temat 8. Prawne wyzwania AI (II): dane osobowe, odpowiedzialność, wymiar sprawiedliwości</w:t>
      </w:r>
    </w:p>
    <w:p>
      <w:pPr>
        <w:pStyle w:val="Compact"/>
        <w:numPr>
          <w:ilvl w:val="0"/>
          <w:numId w:val="1008"/>
        </w:numPr>
      </w:pPr>
      <w:r>
        <w:t xml:space="preserve">Ochrona danych osobowych a AI: podstawy przetwarzania, minimalizacja danych, prawa osób, ocena skutków dla ochrony danych, zautomatyzowane podejmowanie decyzji.</w:t>
      </w:r>
    </w:p>
    <w:p>
      <w:pPr>
        <w:pStyle w:val="Compact"/>
        <w:numPr>
          <w:ilvl w:val="0"/>
          <w:numId w:val="1008"/>
        </w:numPr>
      </w:pPr>
      <w:r>
        <w:t xml:space="preserve">Naruszenia prywatności przez systemy AI: rozpoznawanie twarzy, profilowanie, decyzje organów nadzorczych.</w:t>
      </w:r>
    </w:p>
    <w:p>
      <w:pPr>
        <w:pStyle w:val="Compact"/>
        <w:numPr>
          <w:ilvl w:val="0"/>
          <w:numId w:val="1008"/>
        </w:numPr>
      </w:pPr>
      <w:r>
        <w:t xml:space="preserve">Odpowiedzialność cywilna za szkody wyrządzone przez AI: reżimy kodeksu cywilnego, nowa dyrektywa o odpowiedzialności za produkty wadliwe (2024/2853), wycofanie projektu dyrektywy o odpowiedzialności za AI.</w:t>
      </w:r>
    </w:p>
    <w:p>
      <w:pPr>
        <w:pStyle w:val="Compact"/>
        <w:numPr>
          <w:ilvl w:val="0"/>
          <w:numId w:val="1008"/>
        </w:numPr>
      </w:pPr>
      <w:r>
        <w:t xml:space="preserve">Odpowiedzialność karna. Debata o osobowości prawnej AI.</w:t>
      </w:r>
    </w:p>
    <w:p>
      <w:pPr>
        <w:pStyle w:val="Compact"/>
        <w:numPr>
          <w:ilvl w:val="0"/>
          <w:numId w:val="1008"/>
        </w:numPr>
      </w:pPr>
      <w:r>
        <w:t xml:space="preserve">AI w wymiarze sprawiedliwości i zawodach prawniczych: systemy wysokiego ryzyka, halucynowane orzeczenia w pismach procesowych (Mata v. Avianca), wyniki badania „Algorytm w Todze”, standardy etyki zawodowej.</w:t>
      </w:r>
    </w:p>
    <w:p>
      <w:pPr>
        <w:pStyle w:val="FirstParagraph"/>
      </w:pPr>
      <w:r>
        <w:rPr>
          <w:b/>
          <w:bCs/>
        </w:rPr>
        <w:t xml:space="preserve">Temat 9. Przyszłość AI: trendy, scenariusze, wdrożenia</w:t>
      </w:r>
    </w:p>
    <w:p>
      <w:pPr>
        <w:pStyle w:val="Compact"/>
        <w:numPr>
          <w:ilvl w:val="0"/>
          <w:numId w:val="1009"/>
        </w:numPr>
      </w:pPr>
      <w:r>
        <w:t xml:space="preserve">Prawo Moore’a, prawa skalowania i tempo zmian. Osobliwość technologiczna.</w:t>
      </w:r>
    </w:p>
    <w:p>
      <w:pPr>
        <w:pStyle w:val="Compact"/>
        <w:numPr>
          <w:ilvl w:val="0"/>
          <w:numId w:val="1009"/>
        </w:numPr>
      </w:pPr>
      <w:r>
        <w:t xml:space="preserve">Scenariusze rozwoju (m.in. „AI 2027”) i prognozy badaczy AI.</w:t>
      </w:r>
    </w:p>
    <w:p>
      <w:pPr>
        <w:pStyle w:val="Compact"/>
        <w:numPr>
          <w:ilvl w:val="0"/>
          <w:numId w:val="1009"/>
        </w:numPr>
      </w:pPr>
      <w:r>
        <w:t xml:space="preserve">Technooptymizm i technosceptycyzm. Problem dostosowania (alignment).</w:t>
      </w:r>
    </w:p>
    <w:p>
      <w:pPr>
        <w:pStyle w:val="Compact"/>
        <w:numPr>
          <w:ilvl w:val="0"/>
          <w:numId w:val="1009"/>
        </w:numPr>
      </w:pPr>
      <w:r>
        <w:t xml:space="preserve">Studia przypadków wdrożeń AI: sukcesy, porażki, wnioski i dobre praktyki.</w:t>
      </w:r>
    </w:p>
    <w:p>
      <w:pPr>
        <w:pStyle w:val="FirstParagraph"/>
      </w:pPr>
      <w:r>
        <w:rPr>
          <w:b/>
          <w:bCs/>
        </w:rPr>
        <w:t xml:space="preserve">Temat 10. AI a zrównoważony rozwój. Podsumowanie wykładu</w:t>
      </w:r>
    </w:p>
    <w:p>
      <w:pPr>
        <w:pStyle w:val="Compact"/>
        <w:numPr>
          <w:ilvl w:val="0"/>
          <w:numId w:val="1010"/>
        </w:numPr>
      </w:pPr>
      <w:r>
        <w:t xml:space="preserve">Ślad energetyczny i wodny AI. Centra danych a system energetyczny.</w:t>
      </w:r>
    </w:p>
    <w:p>
      <w:pPr>
        <w:pStyle w:val="Compact"/>
        <w:numPr>
          <w:ilvl w:val="0"/>
          <w:numId w:val="1010"/>
        </w:numPr>
      </w:pPr>
      <w:r>
        <w:t xml:space="preserve">Surowce i łańcuchy dostaw: kobalt, cyna, lit. Historyczny precedens gutaperki.</w:t>
      </w:r>
    </w:p>
    <w:p>
      <w:pPr>
        <w:pStyle w:val="Compact"/>
        <w:numPr>
          <w:ilvl w:val="0"/>
          <w:numId w:val="1010"/>
        </w:numPr>
      </w:pPr>
      <w:r>
        <w:t xml:space="preserve">„Logika ekstrakcji” (K. Crawford) i nierówności globalne.</w:t>
      </w:r>
    </w:p>
    <w:p>
      <w:pPr>
        <w:pStyle w:val="Compact"/>
        <w:numPr>
          <w:ilvl w:val="0"/>
          <w:numId w:val="1010"/>
        </w:numPr>
      </w:pPr>
      <w:r>
        <w:t xml:space="preserve">Zastosowania AI na rzecz klimatu i środowiska. Regulacje dotyczące raportowania wpływu środowiskowego.</w:t>
      </w:r>
    </w:p>
    <w:p>
      <w:pPr>
        <w:pStyle w:val="Compact"/>
        <w:numPr>
          <w:ilvl w:val="0"/>
          <w:numId w:val="1010"/>
        </w:numPr>
      </w:pPr>
      <w:r>
        <w:t xml:space="preserve">Podsumowanie wykładu i przygotowanie do zaliczenia.</w:t>
      </w:r>
    </w:p>
    <w:bookmarkEnd w:id="17"/>
    <w:bookmarkStart w:id="18" w:name="metody-dydaktyczne"/>
    <w:p>
      <w:pPr>
        <w:pStyle w:val="Nagwek1"/>
      </w:pPr>
      <w:r>
        <w:t xml:space="preserve">Metody dydaktyczne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Metody podające:</w:t>
      </w:r>
      <w:r>
        <w:t xml:space="preserve"> </w:t>
      </w:r>
      <w:r>
        <w:t xml:space="preserve">wykład informacyjny, objaśnienie, prezentacja multimedialna.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Metody problemowe:</w:t>
      </w:r>
      <w:r>
        <w:t xml:space="preserve"> </w:t>
      </w:r>
      <w:r>
        <w:t xml:space="preserve">wykład problemowy, studium przypadku, analiza orzeczeń, analiza SWOT, drzewa decyzyjne, dyskusja.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Metody aktywizujące:</w:t>
      </w:r>
      <w:r>
        <w:t xml:space="preserve"> </w:t>
      </w:r>
      <w:r>
        <w:t xml:space="preserve">zadania z modelami generatywnymi, aplikacje interaktywne i quizy na stronie kursu, sondy na żywo.</w:t>
      </w:r>
    </w:p>
    <w:bookmarkEnd w:id="18"/>
    <w:bookmarkStart w:id="19" w:name="metody-i-kryteria-oceniania"/>
    <w:p>
      <w:pPr>
        <w:pStyle w:val="Nagwek1"/>
      </w:pPr>
      <w:r>
        <w:t xml:space="preserve">Metody i kryteria oceniania</w:t>
      </w:r>
    </w:p>
    <w:p>
      <w:pPr>
        <w:pStyle w:val="FirstParagraph"/>
      </w:pPr>
      <w:r>
        <w:rPr>
          <w:b/>
          <w:bCs/>
        </w:rPr>
        <w:t xml:space="preserve">Forma zaliczenia:</w:t>
      </w:r>
      <w:r>
        <w:t xml:space="preserve"> </w:t>
      </w:r>
      <w:r>
        <w:t xml:space="preserve">zaliczenie na ocenę. Student wybiera jedną z trzech ścieżek.</w:t>
      </w:r>
    </w:p>
    <w:p>
      <w:pPr>
        <w:pStyle w:val="BodyText"/>
      </w:pPr>
      <w:r>
        <w:rPr>
          <w:b/>
          <w:bCs/>
        </w:rPr>
        <w:t xml:space="preserve">Ścieżka A: test pisemny.</w:t>
      </w:r>
    </w:p>
    <w:p>
      <w:pPr>
        <w:pStyle w:val="Compact"/>
        <w:numPr>
          <w:ilvl w:val="0"/>
          <w:numId w:val="1012"/>
        </w:numPr>
      </w:pPr>
      <w:r>
        <w:t xml:space="preserve">20 pytań jednokrotnego wyboru (po 1 pkt) i 2 pytania otwarte (po 5 pkt), łącznie 30 pkt.</w:t>
      </w:r>
    </w:p>
    <w:p>
      <w:pPr>
        <w:pStyle w:val="Compact"/>
        <w:numPr>
          <w:ilvl w:val="0"/>
          <w:numId w:val="1012"/>
        </w:numPr>
      </w:pPr>
      <w:r>
        <w:t xml:space="preserve">Pytania otwarte sprawdzają umiejętność zastosowania przepisów do krótkiego stanu faktycznego oraz krytycznej oceny problemu.</w:t>
      </w:r>
    </w:p>
    <w:p>
      <w:pPr>
        <w:pStyle w:val="FirstParagraph"/>
      </w:pPr>
      <w:r>
        <w:rPr>
          <w:b/>
          <w:bCs/>
        </w:rPr>
        <w:t xml:space="preserve">Ścieżka B: projekt zaliczeniowy.</w:t>
      </w:r>
    </w:p>
    <w:p>
      <w:pPr>
        <w:pStyle w:val="Compact"/>
        <w:numPr>
          <w:ilvl w:val="0"/>
          <w:numId w:val="1013"/>
        </w:numPr>
      </w:pPr>
      <w:r>
        <w:t xml:space="preserve">Koncepcja aplikacji opartej na AI, która pomaga prawnikom w konkretnym zadaniu, wraz z planem wdrożenia (dokument 4–5 stron oraz załączniki: schemat działania i szkic ekranów; prototyp nieobowiązkowy). Pomysł na aplikację trzeba uzgodnić z prowadzącym do 6 listopada 2026 r.</w:t>
      </w:r>
    </w:p>
    <w:p>
      <w:pPr>
        <w:pStyle w:val="Compact"/>
        <w:numPr>
          <w:ilvl w:val="0"/>
          <w:numId w:val="1013"/>
        </w:numPr>
      </w:pPr>
      <w:r>
        <w:t xml:space="preserve">Projekt obejmuje: problem i użytkownika, koncepcję aplikacji, analizę prawną (AI Act, RODO, tajemnica zawodowa, odpowiedzialność, etyka zawodowa), ryzyka i zabezpieczenia oraz plan wdrożenia.</w:t>
      </w:r>
    </w:p>
    <w:p>
      <w:pPr>
        <w:pStyle w:val="Compact"/>
        <w:numPr>
          <w:ilvl w:val="0"/>
          <w:numId w:val="1013"/>
        </w:numPr>
      </w:pPr>
      <w:r>
        <w:t xml:space="preserve">Kryteria: koncepcja aplikacji i jej użyteczność 30%, analiza prawna i etyczna 30%, plan wdrożenia, ryzyka i nadzór człowieka 20%, źródła, struktura i redakcja 20%.</w:t>
      </w:r>
    </w:p>
    <w:p>
      <w:pPr>
        <w:pStyle w:val="Compact"/>
        <w:numPr>
          <w:ilvl w:val="0"/>
          <w:numId w:val="1013"/>
        </w:numPr>
      </w:pPr>
      <w:r>
        <w:t xml:space="preserve">Korzystanie z narzędzi AI przy projekcie jest dozwolone pod warunkiem dołączenia oświadczenia, z jakich narzędzi i w jakim zakresie student korzystał. Student odpowiada za prawdziwość wszystkich przywołanych źródeł.</w:t>
      </w:r>
    </w:p>
    <w:p>
      <w:pPr>
        <w:pStyle w:val="FirstParagraph"/>
      </w:pPr>
      <w:r>
        <w:rPr>
          <w:b/>
          <w:bCs/>
        </w:rPr>
        <w:t xml:space="preserve">Ścieżka C: własna propozycja studenta.</w:t>
      </w:r>
    </w:p>
    <w:p>
      <w:pPr>
        <w:pStyle w:val="Compact"/>
        <w:numPr>
          <w:ilvl w:val="0"/>
          <w:numId w:val="1014"/>
        </w:numPr>
      </w:pPr>
      <w:r>
        <w:t xml:space="preserve">Własna forma pracy związana z tematyką kursu (np. prototyp narzędzia AI dla prawników, analiza orzeczenia lub kazusu, artykuł popularnonaukowy, podcast lub film edukacyjny), zgłoszona z krótkim opisem do 6 listopada 2026 r. i zatwierdzona przez prowadzącego.</w:t>
      </w:r>
    </w:p>
    <w:p>
      <w:pPr>
        <w:pStyle w:val="Compact"/>
        <w:numPr>
          <w:ilvl w:val="0"/>
          <w:numId w:val="1014"/>
        </w:numPr>
      </w:pPr>
      <w:r>
        <w:t xml:space="preserve">Zakres porównywalny z projektem ze ścieżki B, z krótkim omówieniem pisemnym (1–2 strony) z podstawą prawną i źródłami; kryteria oceny ustala prowadzący przy zatwierdzeniu.</w:t>
      </w:r>
    </w:p>
    <w:p>
      <w:pPr>
        <w:pStyle w:val="Compact"/>
        <w:numPr>
          <w:ilvl w:val="0"/>
          <w:numId w:val="1014"/>
        </w:numPr>
      </w:pPr>
      <w:r>
        <w:t xml:space="preserve">Korzystanie z narzędzi AI jest dozwolone pod warunkiem dołączenia oświadczenia.</w:t>
      </w:r>
    </w:p>
    <w:p>
      <w:pPr>
        <w:pStyle w:val="FirstParagraph"/>
      </w:pPr>
      <w:r>
        <w:rPr>
          <w:b/>
          <w:bCs/>
        </w:rPr>
        <w:t xml:space="preserve">Skala ocen (wszystkie ścieżki).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Wynik</w:t>
            </w:r>
          </w:p>
        </w:tc>
        <w:tc>
          <w:tcPr/>
          <w:p>
            <w:pPr>
              <w:pStyle w:val="Compact"/>
            </w:pPr>
            <w:r>
              <w:t xml:space="preserve">Ocena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poniżej 60%</w:t>
            </w:r>
          </w:p>
        </w:tc>
        <w:tc>
          <w:tcPr/>
          <w:p>
            <w:pPr>
              <w:pStyle w:val="Compact"/>
            </w:pPr>
            <w:r>
              <w:t xml:space="preserve">niedostateczny (2,0)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60–67%</w:t>
            </w:r>
          </w:p>
        </w:tc>
        <w:tc>
          <w:tcPr/>
          <w:p>
            <w:pPr>
              <w:pStyle w:val="Compact"/>
            </w:pPr>
            <w:r>
              <w:t xml:space="preserve">dostateczny (3,0)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68–75%</w:t>
            </w:r>
          </w:p>
        </w:tc>
        <w:tc>
          <w:tcPr/>
          <w:p>
            <w:pPr>
              <w:pStyle w:val="Compact"/>
            </w:pPr>
            <w:r>
              <w:t xml:space="preserve">dostateczny plus (3,5)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76–83%</w:t>
            </w:r>
          </w:p>
        </w:tc>
        <w:tc>
          <w:tcPr/>
          <w:p>
            <w:pPr>
              <w:pStyle w:val="Compact"/>
            </w:pPr>
            <w:r>
              <w:t xml:space="preserve">dobry (4,0)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84–91%</w:t>
            </w:r>
          </w:p>
        </w:tc>
        <w:tc>
          <w:tcPr/>
          <w:p>
            <w:pPr>
              <w:pStyle w:val="Compact"/>
            </w:pPr>
            <w:r>
              <w:t xml:space="preserve">dobry plus (4,5)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92–100%</w:t>
            </w:r>
          </w:p>
        </w:tc>
        <w:tc>
          <w:tcPr/>
          <w:p>
            <w:pPr>
              <w:pStyle w:val="Compact"/>
            </w:pPr>
            <w:r>
              <w:t xml:space="preserve">bardzo dobry (5,0)</w:t>
            </w:r>
          </w:p>
        </w:tc>
      </w:tr>
    </w:tbl>
    <w:p>
      <w:pPr>
        <w:pStyle w:val="BodyText"/>
      </w:pPr>
      <w:r>
        <w:rPr>
          <w:b/>
          <w:bCs/>
        </w:rPr>
        <w:t xml:space="preserve">Aktywność.</w:t>
      </w:r>
      <w:r>
        <w:t xml:space="preserve"> </w:t>
      </w:r>
      <w:r>
        <w:t xml:space="preserve">Udział w dyskusji, zadania z modelami generatywnymi i quizy na stronie kursu mogą podwyższyć ocenę końcową o pół stopnia.</w:t>
      </w:r>
    </w:p>
    <w:p>
      <w:pPr>
        <w:pStyle w:val="BodyText"/>
      </w:pPr>
      <w:r>
        <w:rPr>
          <w:b/>
          <w:bCs/>
        </w:rPr>
        <w:t xml:space="preserve">Termin.</w:t>
      </w:r>
      <w:r>
        <w:t xml:space="preserve"> </w:t>
      </w:r>
      <w:r>
        <w:t xml:space="preserve">Test oraz oddanie projektu (ścieżka B) i pracy własnej (ścieżka C) w zimowej sesji zaliczeniowo-egzaminacyjnej (5–18 lutego 2027 r.); projekt i pracę własną najpóźniej do 18 lutego 2027 r.; termin poprawkowy do 28 lutego 2027 r.</w:t>
      </w:r>
    </w:p>
    <w:bookmarkEnd w:id="19"/>
    <w:bookmarkStart w:id="24" w:name="literatura"/>
    <w:p>
      <w:pPr>
        <w:pStyle w:val="Nagwek1"/>
      </w:pPr>
      <w:r>
        <w:t xml:space="preserve">Literatura</w:t>
      </w:r>
    </w:p>
    <w:bookmarkStart w:id="20" w:name="literatura-podstawowa"/>
    <w:p>
      <w:pPr>
        <w:pStyle w:val="Nagwek2"/>
      </w:pPr>
      <w:r>
        <w:t xml:space="preserve">Literatura podstawowa</w:t>
      </w:r>
    </w:p>
    <w:p>
      <w:pPr>
        <w:pStyle w:val="Compact"/>
        <w:numPr>
          <w:ilvl w:val="0"/>
          <w:numId w:val="1015"/>
        </w:numPr>
      </w:pPr>
      <w:r>
        <w:t xml:space="preserve">Rozporządzenie Parlamentu Europejskiego i Rady (UE) 2024/1689 z dnia 13 czerwca 2024 r. w sprawie ustanowienia zharmonizowanych przepisów dotyczących sztucznej inteligencji (akt w sprawie sztucznej inteligencji), Dz.Urz. UE L 2024/1689 z 12.7.2024, ze zm.</w:t>
      </w:r>
    </w:p>
    <w:p>
      <w:pPr>
        <w:pStyle w:val="Compact"/>
        <w:numPr>
          <w:ilvl w:val="0"/>
          <w:numId w:val="1015"/>
        </w:numPr>
      </w:pPr>
      <w:r>
        <w:t xml:space="preserve">Ustawa z dnia 3 lipca 2026 r. o systemach sztucznej inteligencji, Dz.U. 2026 poz. 1003.</w:t>
      </w:r>
    </w:p>
    <w:p>
      <w:pPr>
        <w:pStyle w:val="Compact"/>
        <w:numPr>
          <w:ilvl w:val="0"/>
          <w:numId w:val="1015"/>
        </w:numPr>
      </w:pPr>
      <w:r>
        <w:t xml:space="preserve">Crawford, Kate.</w:t>
      </w:r>
      <w:r>
        <w:t xml:space="preserve"> </w:t>
      </w:r>
      <w:r>
        <w:rPr>
          <w:i/>
          <w:iCs/>
        </w:rPr>
        <w:t xml:space="preserve">Atlas sztucznej inteligencji. Władza, pieniądze i środowisko naturalne</w:t>
      </w:r>
      <w:r>
        <w:t xml:space="preserve">. Przeł. Tadeusz Chawziuk. Kraków: Wydawnictwo Uniwersytetu Jagiellońskiego (seria bo.wiem), 2024.</w:t>
      </w:r>
    </w:p>
    <w:p>
      <w:pPr>
        <w:pStyle w:val="Compact"/>
        <w:numPr>
          <w:ilvl w:val="0"/>
          <w:numId w:val="1015"/>
        </w:numPr>
      </w:pPr>
      <w:r>
        <w:t xml:space="preserve">Coeckelbergh, Mark.</w:t>
      </w:r>
      <w:r>
        <w:t xml:space="preserve"> </w:t>
      </w:r>
      <w:r>
        <w:rPr>
          <w:i/>
          <w:iCs/>
        </w:rPr>
        <w:t xml:space="preserve">AI Ethics</w:t>
      </w:r>
      <w:r>
        <w:t xml:space="preserve">. Cambridge, MA: MIT Press, 2020.</w:t>
      </w:r>
    </w:p>
    <w:p>
      <w:pPr>
        <w:pStyle w:val="Compact"/>
        <w:numPr>
          <w:ilvl w:val="0"/>
          <w:numId w:val="1015"/>
        </w:numPr>
      </w:pPr>
      <w:r>
        <w:t xml:space="preserve">Fischer, Bogdan, Adam Pązik, Marek Świerczyński (red.).</w:t>
      </w:r>
      <w:r>
        <w:t xml:space="preserve"> </w:t>
      </w:r>
      <w:r>
        <w:rPr>
          <w:i/>
          <w:iCs/>
        </w:rPr>
        <w:t xml:space="preserve">Prawo sztucznej inteligencji i nowych technologii 3</w:t>
      </w:r>
      <w:r>
        <w:t xml:space="preserve">. Warszawa: Wolters Kluwer, 2024.</w:t>
      </w:r>
    </w:p>
    <w:p>
      <w:pPr>
        <w:pStyle w:val="Compact"/>
        <w:numPr>
          <w:ilvl w:val="0"/>
          <w:numId w:val="1015"/>
        </w:numPr>
      </w:pPr>
      <w:r>
        <w:t xml:space="preserve">Susskind, Richard, Daniel Susskind.</w:t>
      </w:r>
      <w:r>
        <w:t xml:space="preserve"> </w:t>
      </w:r>
      <w:r>
        <w:rPr>
          <w:i/>
          <w:iCs/>
        </w:rPr>
        <w:t xml:space="preserve">Przyszłość zawodów. Jak technologia zmieni pracę ekspertów</w:t>
      </w:r>
      <w:r>
        <w:t xml:space="preserve">. Przeł. Tomasz Kunz. Warszawa: Wolters Kluwer, 2019.</w:t>
      </w:r>
    </w:p>
    <w:p>
      <w:pPr>
        <w:pStyle w:val="Compact"/>
        <w:numPr>
          <w:ilvl w:val="0"/>
          <w:numId w:val="1015"/>
        </w:numPr>
      </w:pPr>
      <w:r>
        <w:t xml:space="preserve">Dudka, Mateusz, Karol Kasprowicz, Maciej Stodółkiewicz, Bartłomiej Stolarz.</w:t>
      </w:r>
      <w:r>
        <w:t xml:space="preserve"> </w:t>
      </w:r>
      <w:r>
        <w:rPr>
          <w:i/>
          <w:iCs/>
        </w:rPr>
        <w:t xml:space="preserve">Algorytm w Todze. Postawy wobec sztucznej inteligencji wśród przedstawicieli zawodów prawniczych. Raport z pilotażowych badań empirycznych</w:t>
      </w:r>
      <w:r>
        <w:t xml:space="preserve">. Lublin: Wydawnictwo UMCS, 2026 (w druku; wersja interaktywna na stronie kursu).</w:t>
      </w:r>
    </w:p>
    <w:bookmarkEnd w:id="20"/>
    <w:bookmarkStart w:id="21" w:name="akty-prawne-i-dokumenty"/>
    <w:p>
      <w:pPr>
        <w:pStyle w:val="Nagwek2"/>
      </w:pPr>
      <w:r>
        <w:t xml:space="preserve">Akty prawne i dokumenty</w:t>
      </w:r>
    </w:p>
    <w:p>
      <w:pPr>
        <w:pStyle w:val="Compact"/>
        <w:numPr>
          <w:ilvl w:val="0"/>
          <w:numId w:val="1016"/>
        </w:numPr>
      </w:pPr>
      <w:r>
        <w:t xml:space="preserve">Rozporządzenie Parlamentu Europejskiego i Rady (UE) 2026/1744 z dnia 8 lipca 2026 r. zmieniające rozporządzenie (UE) 2024/1689 (tzw. omnibus cyfrowy dotyczący AI).</w:t>
      </w:r>
    </w:p>
    <w:p>
      <w:pPr>
        <w:pStyle w:val="Compact"/>
        <w:numPr>
          <w:ilvl w:val="0"/>
          <w:numId w:val="1016"/>
        </w:numPr>
      </w:pPr>
      <w:r>
        <w:t xml:space="preserve">Rozporządzenie Parlamentu Europejskiego i Rady (UE) 2016/679 z dnia 27 kwietnia 2016 r. (RODO), Dz.Urz. UE L 119 z 4.5.2016, s. 1, ze zm.</w:t>
      </w:r>
    </w:p>
    <w:p>
      <w:pPr>
        <w:pStyle w:val="Compact"/>
        <w:numPr>
          <w:ilvl w:val="0"/>
          <w:numId w:val="1016"/>
        </w:numPr>
      </w:pPr>
      <w:r>
        <w:t xml:space="preserve">Rozporządzenie Parlamentu Europejskiego i Rady (UE) 2022/2065 z dnia 19 października 2022 r. (akt o usługach cyfrowych, DSA), Dz.Urz. UE L 277 z 27.10.2022, s. 1.</w:t>
      </w:r>
    </w:p>
    <w:p>
      <w:pPr>
        <w:pStyle w:val="Compact"/>
        <w:numPr>
          <w:ilvl w:val="0"/>
          <w:numId w:val="1016"/>
        </w:numPr>
      </w:pPr>
      <w:r>
        <w:t xml:space="preserve">Rozporządzenie Parlamentu Europejskiego i Rady (UE) 2022/1925 z dnia 14 września 2022 r. (akt o rynkach cyfrowych, DMA), Dz.Urz. UE L 265 z 12.10.2022, s. 1.</w:t>
      </w:r>
    </w:p>
    <w:p>
      <w:pPr>
        <w:pStyle w:val="Compact"/>
        <w:numPr>
          <w:ilvl w:val="0"/>
          <w:numId w:val="1016"/>
        </w:numPr>
      </w:pPr>
      <w:r>
        <w:t xml:space="preserve">Dyrektywa Parlamentu Europejskiego i Rady (UE) 2019/790 z dnia 17 kwietnia 2019 r. w sprawie prawa autorskiego i praw pokrewnych na jednolitym rynku cyfrowym, Dz.Urz. UE L 130 z 17.5.2019, s. 92.</w:t>
      </w:r>
    </w:p>
    <w:p>
      <w:pPr>
        <w:pStyle w:val="Compact"/>
        <w:numPr>
          <w:ilvl w:val="0"/>
          <w:numId w:val="1016"/>
        </w:numPr>
      </w:pPr>
      <w:r>
        <w:t xml:space="preserve">Dyrektywa Parlamentu Europejskiego i Rady (UE) 2024/2853 z dnia 23 października 2024 r. w sprawie odpowiedzialności za produkty wadliwe, Dz.Urz. UE L 2024/2853 z 18.11.2024.</w:t>
      </w:r>
    </w:p>
    <w:p>
      <w:pPr>
        <w:pStyle w:val="Compact"/>
        <w:numPr>
          <w:ilvl w:val="0"/>
          <w:numId w:val="1016"/>
        </w:numPr>
      </w:pPr>
      <w:r>
        <w:t xml:space="preserve">Ustawa z dnia 4 lutego 1994 r. o prawie autorskim i prawach pokrewnych (t.j. ze zm.).</w:t>
      </w:r>
    </w:p>
    <w:p>
      <w:pPr>
        <w:pStyle w:val="Compact"/>
        <w:numPr>
          <w:ilvl w:val="0"/>
          <w:numId w:val="1016"/>
        </w:numPr>
      </w:pPr>
      <w:r>
        <w:t xml:space="preserve">Ustawa z dnia 23 kwietnia 1964 r. Kodeks cywilny (t.j. ze zm.), art. 415, 435, 449¹ i n.</w:t>
      </w:r>
    </w:p>
    <w:p>
      <w:pPr>
        <w:pStyle w:val="Compact"/>
        <w:numPr>
          <w:ilvl w:val="0"/>
          <w:numId w:val="1016"/>
        </w:numPr>
      </w:pPr>
      <w:r>
        <w:t xml:space="preserve">Konwencja ramowa Rady Europy o sztucznej inteligencji i prawach człowieka, demokracji i praworządności (CETS nr 225), Wilno, 5.9.2024.</w:t>
      </w:r>
    </w:p>
    <w:p>
      <w:pPr>
        <w:pStyle w:val="Compact"/>
        <w:numPr>
          <w:ilvl w:val="0"/>
          <w:numId w:val="1016"/>
        </w:numPr>
      </w:pPr>
      <w:r>
        <w:t xml:space="preserve">Grupa ekspertów wysokiego szczebla ds. AI.</w:t>
      </w:r>
      <w:r>
        <w:t xml:space="preserve"> </w:t>
      </w:r>
      <w:r>
        <w:rPr>
          <w:i/>
          <w:iCs/>
        </w:rPr>
        <w:t xml:space="preserve">Wytyczne w zakresie etyki dotyczące godnej zaufania sztucznej inteligencji</w:t>
      </w:r>
      <w:r>
        <w:t xml:space="preserve">. Bruksela: Komisja Europejska, 2019.</w:t>
      </w:r>
    </w:p>
    <w:p>
      <w:pPr>
        <w:pStyle w:val="Compact"/>
        <w:numPr>
          <w:ilvl w:val="0"/>
          <w:numId w:val="1016"/>
        </w:numPr>
      </w:pPr>
      <w:r>
        <w:t xml:space="preserve">UNESCO.</w:t>
      </w:r>
      <w:r>
        <w:t xml:space="preserve"> </w:t>
      </w:r>
      <w:r>
        <w:rPr>
          <w:i/>
          <w:iCs/>
        </w:rPr>
        <w:t xml:space="preserve">Recommendation on the Ethics of Artificial Intelligence</w:t>
      </w:r>
      <w:r>
        <w:t xml:space="preserve">. Paryż, 2021.</w:t>
      </w:r>
    </w:p>
    <w:bookmarkEnd w:id="21"/>
    <w:bookmarkStart w:id="22" w:name="orzecznictwo"/>
    <w:p>
      <w:pPr>
        <w:pStyle w:val="Nagwek2"/>
      </w:pPr>
      <w:r>
        <w:t xml:space="preserve">Orzecznictwo</w:t>
      </w:r>
    </w:p>
    <w:p>
      <w:pPr>
        <w:pStyle w:val="Compact"/>
        <w:numPr>
          <w:ilvl w:val="0"/>
          <w:numId w:val="1017"/>
        </w:numPr>
      </w:pPr>
      <w:r>
        <w:t xml:space="preserve">Wyrok TSUE z 7.12.2023 r., C-634/21,</w:t>
      </w:r>
      <w:r>
        <w:t xml:space="preserve"> </w:t>
      </w:r>
      <w:r>
        <w:rPr>
          <w:i/>
          <w:iCs/>
        </w:rPr>
        <w:t xml:space="preserve">SCHUFA Holding (Scoring)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Wyrok TSUE z 27.2.2025 r., C-203/22,</w:t>
      </w:r>
      <w:r>
        <w:t xml:space="preserve"> </w:t>
      </w:r>
      <w:r>
        <w:rPr>
          <w:i/>
          <w:iCs/>
        </w:rPr>
        <w:t xml:space="preserve">Dun &amp; Bradstreet Austria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Wyrok Sądu Okręgowego w Hadze z 5.2.2020 r. w sprawie systemu SyRI, ECLI:NL:RBDHA:2020:865.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State v. Loomis</w:t>
      </w:r>
      <w:r>
        <w:t xml:space="preserve">, 881 N.W.2d 749 (Wis. 2016).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Mata v. Avianca, Inc.</w:t>
      </w:r>
      <w:r>
        <w:t xml:space="preserve">, No. 22-cv-1461 (S.D.N.Y. 22.6.2023).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Thaler v. Perlmutter</w:t>
      </w:r>
      <w:r>
        <w:t xml:space="preserve">, No. 23-5233 (D.C. Cir. 18.3.2025).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Getty Images v. Stability AI</w:t>
      </w:r>
      <w:r>
        <w:t xml:space="preserve">, wyrok High Court of England and Wales (Chancery Division) z 4.11.2025 r.</w:t>
      </w:r>
    </w:p>
    <w:p>
      <w:pPr>
        <w:pStyle w:val="Compact"/>
        <w:numPr>
          <w:ilvl w:val="0"/>
          <w:numId w:val="1017"/>
        </w:numPr>
      </w:pPr>
      <w:r>
        <w:t xml:space="preserve">Wyrok Landgericht München I z 11.11.2025 r., 42 O 14139/24,</w:t>
      </w:r>
      <w:r>
        <w:t xml:space="preserve"> </w:t>
      </w:r>
      <w:r>
        <w:rPr>
          <w:i/>
          <w:iCs/>
        </w:rPr>
        <w:t xml:space="preserve">GEMA v. OpenAI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Bartz v. Anthropic PBC</w:t>
      </w:r>
      <w:r>
        <w:t xml:space="preserve">, No. 3:24-cv-05417 (N.D. Cal. 23.6.2025).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The New York Times Co. v. Microsoft Corp. and OpenAI</w:t>
      </w:r>
      <w:r>
        <w:t xml:space="preserve">, No. 1:23-cv-11195 (S.D.N.Y., w toku).</w:t>
      </w:r>
    </w:p>
    <w:p>
      <w:pPr>
        <w:pStyle w:val="Compact"/>
        <w:numPr>
          <w:ilvl w:val="0"/>
          <w:numId w:val="1017"/>
        </w:numPr>
      </w:pPr>
      <w:r>
        <w:t xml:space="preserve">Wyrok Sądu Okręgowego w Warszawie z 13.3.2024 r., IV C 608/19,</w:t>
      </w:r>
      <w:r>
        <w:t xml:space="preserve"> </w:t>
      </w:r>
      <w:r>
        <w:rPr>
          <w:i/>
          <w:iCs/>
        </w:rPr>
        <w:t xml:space="preserve">Społeczna Inicjatywa Narkopolityki przeciwko Meta Platforms Ireland Ltd.</w:t>
      </w:r>
      <w:r>
        <w:t xml:space="preserve"> </w:t>
      </w:r>
      <w:r>
        <w:t xml:space="preserve">(nieprawomocny).</w:t>
      </w:r>
    </w:p>
    <w:bookmarkEnd w:id="22"/>
    <w:bookmarkStart w:id="23" w:name="literatura-uzupełniająca"/>
    <w:p>
      <w:pPr>
        <w:pStyle w:val="Nagwek2"/>
      </w:pPr>
      <w:r>
        <w:t xml:space="preserve">Literatura uzupełniająca</w:t>
      </w:r>
    </w:p>
    <w:p>
      <w:pPr>
        <w:pStyle w:val="Compact"/>
        <w:numPr>
          <w:ilvl w:val="0"/>
          <w:numId w:val="1018"/>
        </w:numPr>
      </w:pPr>
      <w:r>
        <w:t xml:space="preserve">Aidid, Abdi, Benjamin Alarie.</w:t>
      </w:r>
      <w:r>
        <w:t xml:space="preserve"> </w:t>
      </w:r>
      <w:r>
        <w:rPr>
          <w:i/>
          <w:iCs/>
        </w:rPr>
        <w:t xml:space="preserve">The Legal Singularity: How Artificial Intelligence Can Make Law Radically Better</w:t>
      </w:r>
      <w:r>
        <w:t xml:space="preserve">. Toronto: University of Toronto Press, 2023.</w:t>
      </w:r>
    </w:p>
    <w:p>
      <w:pPr>
        <w:pStyle w:val="Compact"/>
        <w:numPr>
          <w:ilvl w:val="0"/>
          <w:numId w:val="1018"/>
        </w:numPr>
      </w:pPr>
      <w:r>
        <w:t xml:space="preserve">Andreessen, Marc. „The Techno-Optimist Manifesto”, https://a16z.com/the-techno-optimist-manifesto/ (dostęp 19.10.2026).</w:t>
      </w:r>
    </w:p>
    <w:p>
      <w:pPr>
        <w:pStyle w:val="Compact"/>
        <w:numPr>
          <w:ilvl w:val="0"/>
          <w:numId w:val="1018"/>
        </w:numPr>
      </w:pPr>
      <w:r>
        <w:t xml:space="preserve">Andreessen, Marc. „Why AI Will Save the World”, https://pmarca.substack.com/p/why-ai-will-save-the-world (dostęp 19.10.2026).</w:t>
      </w:r>
    </w:p>
    <w:p>
      <w:pPr>
        <w:pStyle w:val="Compact"/>
        <w:numPr>
          <w:ilvl w:val="0"/>
          <w:numId w:val="1018"/>
        </w:numPr>
      </w:pPr>
      <w:r>
        <w:t xml:space="preserve">Ashley, Kevin D.</w:t>
      </w:r>
      <w:r>
        <w:t xml:space="preserve"> </w:t>
      </w:r>
      <w:r>
        <w:rPr>
          <w:i/>
          <w:iCs/>
        </w:rPr>
        <w:t xml:space="preserve">Artificial Intelligence and Legal Analytics: New Tools for Law Practice in the Digital Age</w:t>
      </w:r>
      <w:r>
        <w:t xml:space="preserve">. Cambridge: Cambridge University Press, 2017.</w:t>
      </w:r>
    </w:p>
    <w:p>
      <w:pPr>
        <w:pStyle w:val="Compact"/>
        <w:numPr>
          <w:ilvl w:val="0"/>
          <w:numId w:val="1018"/>
        </w:numPr>
      </w:pPr>
      <w:r>
        <w:t xml:space="preserve">Bostrom, Nick.</w:t>
      </w:r>
      <w:r>
        <w:t xml:space="preserve"> </w:t>
      </w:r>
      <w:r>
        <w:rPr>
          <w:i/>
          <w:iCs/>
        </w:rPr>
        <w:t xml:space="preserve">Superinteligencja. Scenariusze, strategie, zagrożenia</w:t>
      </w:r>
      <w:r>
        <w:t xml:space="preserve">. Przeł. Dorota Konowrocka-Sawa. Gliwice: Helion, 2016.</w:t>
      </w:r>
    </w:p>
    <w:p>
      <w:pPr>
        <w:pStyle w:val="Compact"/>
        <w:numPr>
          <w:ilvl w:val="0"/>
          <w:numId w:val="1018"/>
        </w:numPr>
      </w:pPr>
      <w:r>
        <w:t xml:space="preserve">Bostrom, Nick.</w:t>
      </w:r>
      <w:r>
        <w:t xml:space="preserve"> </w:t>
      </w:r>
      <w:r>
        <w:rPr>
          <w:i/>
          <w:iCs/>
        </w:rPr>
        <w:t xml:space="preserve">Deep Utopia: Life and Meaning in a Solved World</w:t>
      </w:r>
      <w:r>
        <w:t xml:space="preserve">. Washington, DC: Ideapress Publishing, 2024.</w:t>
      </w:r>
    </w:p>
    <w:p>
      <w:pPr>
        <w:pStyle w:val="Compact"/>
        <w:numPr>
          <w:ilvl w:val="0"/>
          <w:numId w:val="1018"/>
        </w:numPr>
      </w:pPr>
      <w:r>
        <w:t xml:space="preserve">Coeckelbergh, Mark.</w:t>
      </w:r>
      <w:r>
        <w:t xml:space="preserve"> </w:t>
      </w:r>
      <w:r>
        <w:rPr>
          <w:i/>
          <w:iCs/>
        </w:rPr>
        <w:t xml:space="preserve">The Political Philosophy of AI: An Introduction</w:t>
      </w:r>
      <w:r>
        <w:t xml:space="preserve">. Cambridge: Polity Press, 2022.</w:t>
      </w:r>
    </w:p>
    <w:p>
      <w:pPr>
        <w:pStyle w:val="Compact"/>
        <w:numPr>
          <w:ilvl w:val="0"/>
          <w:numId w:val="1018"/>
        </w:numPr>
      </w:pPr>
      <w:r>
        <w:t xml:space="preserve">Dell’Acqua, Fabrizio, Edward McFowland III, Ethan R. Mollick, Hila Lifshitz-Assaf, Katherine Kellogg, Saran Rajendran, Lisa Krayer, François Candelon, Karim R. Lakhani. „Navigating the Jagged Technological Frontier: Field Experimental Evidence of the Effects of AI on Knowledge Worker Productivity and Quality”. Harvard Business School Technology &amp; Operations Mgt. Unit Working Paper 24-013 (2023), https://ssrn.com/abstract=4573321.</w:t>
      </w:r>
    </w:p>
    <w:p>
      <w:pPr>
        <w:pStyle w:val="Compact"/>
        <w:numPr>
          <w:ilvl w:val="0"/>
          <w:numId w:val="1018"/>
        </w:numPr>
      </w:pPr>
      <w:r>
        <w:t xml:space="preserve">El, Batu, James Zou. „Moloch’s Bargain: Emergent Misalignment When LLMs Compete for Audiences”. arXiv:2510.06105 (2025).</w:t>
      </w:r>
    </w:p>
    <w:p>
      <w:pPr>
        <w:pStyle w:val="Compact"/>
        <w:numPr>
          <w:ilvl w:val="0"/>
          <w:numId w:val="1018"/>
        </w:numPr>
      </w:pPr>
      <w:r>
        <w:t xml:space="preserve">Fisher, Max.</w:t>
      </w:r>
      <w:r>
        <w:t xml:space="preserve"> </w:t>
      </w:r>
      <w:r>
        <w:rPr>
          <w:i/>
          <w:iCs/>
        </w:rPr>
        <w:t xml:space="preserve">W trybach chaosu. Jak media społecznościowe przeprogramowały nasze umysły i nasz świat</w:t>
      </w:r>
      <w:r>
        <w:t xml:space="preserve">. Przeł. Mateusz Borowski. Kraków: Szczeliny, 2023.</w:t>
      </w:r>
    </w:p>
    <w:p>
      <w:pPr>
        <w:pStyle w:val="Compact"/>
        <w:numPr>
          <w:ilvl w:val="0"/>
          <w:numId w:val="1018"/>
        </w:numPr>
      </w:pPr>
      <w:r>
        <w:t xml:space="preserve">Grace, Katja, Harlan Stewart, Julia Fabienne Sandkühler, Stephen Thomas, Ben Weinstein-Raun, Jan Brauner, Richard C. Korzekwa. „Thousands of AI Authors on the Future of AI”. arXiv:2401.02843 (2024).</w:t>
      </w:r>
    </w:p>
    <w:p>
      <w:pPr>
        <w:pStyle w:val="Compact"/>
        <w:numPr>
          <w:ilvl w:val="0"/>
          <w:numId w:val="1018"/>
        </w:numPr>
      </w:pPr>
      <w:r>
        <w:t xml:space="preserve">Harris, Sam.</w:t>
      </w:r>
      <w:r>
        <w:t xml:space="preserve"> </w:t>
      </w:r>
      <w:r>
        <w:rPr>
          <w:i/>
          <w:iCs/>
        </w:rPr>
        <w:t xml:space="preserve">Nadając sens. Rozmowy o świadomości, moralności i przyszłości</w:t>
      </w:r>
      <w:r>
        <w:t xml:space="preserve">. Przeł. Aleksandra Paszkowska. Poznań: Filia, 2023.</w:t>
      </w:r>
    </w:p>
    <w:p>
      <w:pPr>
        <w:pStyle w:val="Compact"/>
        <w:numPr>
          <w:ilvl w:val="0"/>
          <w:numId w:val="1018"/>
        </w:numPr>
      </w:pPr>
      <w:r>
        <w:t xml:space="preserve">Hoffman, Reid.</w:t>
      </w:r>
      <w:r>
        <w:t xml:space="preserve"> </w:t>
      </w:r>
      <w:r>
        <w:rPr>
          <w:i/>
          <w:iCs/>
        </w:rPr>
        <w:t xml:space="preserve">Rozmowa z chatem GPT o przyszłości ludzi i świata</w:t>
      </w:r>
      <w:r>
        <w:t xml:space="preserve">. Przeł. Katarzyna Mironowicz. Warszawa: Prześwity, 2023.</w:t>
      </w:r>
    </w:p>
    <w:p>
      <w:pPr>
        <w:pStyle w:val="Compact"/>
        <w:numPr>
          <w:ilvl w:val="0"/>
          <w:numId w:val="1018"/>
        </w:numPr>
      </w:pPr>
      <w:r>
        <w:t xml:space="preserve">Horoch, Andrzej.</w:t>
      </w:r>
      <w:r>
        <w:t xml:space="preserve"> </w:t>
      </w:r>
      <w:r>
        <w:rPr>
          <w:i/>
          <w:iCs/>
        </w:rPr>
        <w:t xml:space="preserve">Kierunek metaverse. Jak wprowadzić technologie VR, AR i AI w twojej firmie</w:t>
      </w:r>
      <w:r>
        <w:t xml:space="preserve">. Warszawa: MT Biznes, 2023.</w:t>
      </w:r>
    </w:p>
    <w:p>
      <w:pPr>
        <w:pStyle w:val="Compact"/>
        <w:numPr>
          <w:ilvl w:val="0"/>
          <w:numId w:val="1018"/>
        </w:numPr>
      </w:pPr>
      <w:r>
        <w:t xml:space="preserve">International Energy Agency.</w:t>
      </w:r>
      <w:r>
        <w:t xml:space="preserve"> </w:t>
      </w:r>
      <w:r>
        <w:rPr>
          <w:i/>
          <w:iCs/>
        </w:rPr>
        <w:t xml:space="preserve">Energy and AI</w:t>
      </w:r>
      <w:r>
        <w:t xml:space="preserve">. Paryż: IEA, 2025.</w:t>
      </w:r>
    </w:p>
    <w:p>
      <w:pPr>
        <w:pStyle w:val="Compact"/>
        <w:numPr>
          <w:ilvl w:val="0"/>
          <w:numId w:val="1018"/>
        </w:numPr>
      </w:pPr>
      <w:r>
        <w:t xml:space="preserve">Kalai, Adam Tauman, Ofir Nachum, Santosh S. Vempala, Edwin Zhang. „Why Language Models Hallucinate”. arXiv:2509.04664 (2025).</w:t>
      </w:r>
    </w:p>
    <w:p>
      <w:pPr>
        <w:pStyle w:val="Compact"/>
        <w:numPr>
          <w:ilvl w:val="0"/>
          <w:numId w:val="1018"/>
        </w:numPr>
      </w:pPr>
      <w:r>
        <w:t xml:space="preserve">Kara, Siddharth.</w:t>
      </w:r>
      <w:r>
        <w:t xml:space="preserve"> </w:t>
      </w:r>
      <w:r>
        <w:rPr>
          <w:i/>
          <w:iCs/>
        </w:rPr>
        <w:t xml:space="preserve">Krwawy kobalt. O tym, jak krew Kongijczyków zasila naszą codzienność</w:t>
      </w:r>
      <w:r>
        <w:t xml:space="preserve">. Przeł. Hanna Pustuła-Lewicka. Warszawa: W.A.B., 2024.</w:t>
      </w:r>
    </w:p>
    <w:p>
      <w:pPr>
        <w:pStyle w:val="Compact"/>
        <w:numPr>
          <w:ilvl w:val="0"/>
          <w:numId w:val="1018"/>
        </w:numPr>
      </w:pPr>
      <w:r>
        <w:t xml:space="preserve">Kasprowicz, Karol, Hanna Busz.</w:t>
      </w:r>
      <w:r>
        <w:t xml:space="preserve"> </w:t>
      </w:r>
      <w:r>
        <w:rPr>
          <w:i/>
          <w:iCs/>
        </w:rPr>
        <w:t xml:space="preserve">Algorytm w Ławce Szkolnej. Postawy uczniów i studentów wobec AI</w:t>
      </w:r>
      <w:r>
        <w:t xml:space="preserve">. Raport z badań pilotażowych. Lublin, 2026 (wersja interaktywna na stronie kursu).</w:t>
      </w:r>
    </w:p>
    <w:p>
      <w:pPr>
        <w:pStyle w:val="Compact"/>
        <w:numPr>
          <w:ilvl w:val="0"/>
          <w:numId w:val="1018"/>
        </w:numPr>
      </w:pPr>
      <w:r>
        <w:t xml:space="preserve">Kokotajlo, Daniel, Scott Alexander, Thomas Larsen, Eli Lifland, Romeo Dean.</w:t>
      </w:r>
      <w:r>
        <w:t xml:space="preserve"> </w:t>
      </w:r>
      <w:r>
        <w:rPr>
          <w:i/>
          <w:iCs/>
        </w:rPr>
        <w:t xml:space="preserve">AI 2027</w:t>
      </w:r>
      <w:r>
        <w:t xml:space="preserve">, https://ai-2027.com (2025, dostęp 19.10.2026).</w:t>
      </w:r>
    </w:p>
    <w:p>
      <w:pPr>
        <w:pStyle w:val="Compact"/>
        <w:numPr>
          <w:ilvl w:val="0"/>
          <w:numId w:val="1018"/>
        </w:numPr>
      </w:pPr>
      <w:r>
        <w:t xml:space="preserve">Komisja Europejska.</w:t>
      </w:r>
      <w:r>
        <w:t xml:space="preserve"> </w:t>
      </w:r>
      <w:r>
        <w:rPr>
          <w:i/>
          <w:iCs/>
        </w:rPr>
        <w:t xml:space="preserve">Inicjatywa UE w sprawie technologii Web 4.0 i światów wirtualnych</w:t>
      </w:r>
      <w:r>
        <w:t xml:space="preserve">, COM(2023) 442 final, Strasburg, 11.7.2023.</w:t>
      </w:r>
    </w:p>
    <w:p>
      <w:pPr>
        <w:pStyle w:val="Compact"/>
        <w:numPr>
          <w:ilvl w:val="0"/>
          <w:numId w:val="1018"/>
        </w:numPr>
      </w:pPr>
      <w:r>
        <w:t xml:space="preserve">Kranzberg, Melvin. „Technology and History: ‘Kranzberg’s Laws’”.</w:t>
      </w:r>
      <w:r>
        <w:t xml:space="preserve"> </w:t>
      </w:r>
      <w:r>
        <w:rPr>
          <w:i/>
          <w:iCs/>
        </w:rPr>
        <w:t xml:space="preserve">Technology and Culture</w:t>
      </w:r>
      <w:r>
        <w:t xml:space="preserve"> </w:t>
      </w:r>
      <w:r>
        <w:t xml:space="preserve">27, nr 3 (1986): 544–560.</w:t>
      </w:r>
    </w:p>
    <w:p>
      <w:pPr>
        <w:pStyle w:val="Compact"/>
        <w:numPr>
          <w:ilvl w:val="0"/>
          <w:numId w:val="1018"/>
        </w:numPr>
      </w:pPr>
      <w:r>
        <w:t xml:space="preserve">Kurp, Feliks.</w:t>
      </w:r>
      <w:r>
        <w:t xml:space="preserve"> </w:t>
      </w:r>
      <w:r>
        <w:rPr>
          <w:i/>
          <w:iCs/>
        </w:rPr>
        <w:t xml:space="preserve">Sztuczna inteligencja od podstaw</w:t>
      </w:r>
      <w:r>
        <w:t xml:space="preserve">. Gliwice: Helion, 2023.</w:t>
      </w:r>
    </w:p>
    <w:p>
      <w:pPr>
        <w:pStyle w:val="Compact"/>
        <w:numPr>
          <w:ilvl w:val="0"/>
          <w:numId w:val="1018"/>
        </w:numPr>
      </w:pPr>
      <w:r>
        <w:t xml:space="preserve">Lee, Kai-Fu, Chen Qiufan.</w:t>
      </w:r>
      <w:r>
        <w:t xml:space="preserve"> </w:t>
      </w:r>
      <w:r>
        <w:rPr>
          <w:i/>
          <w:iCs/>
        </w:rPr>
        <w:t xml:space="preserve">AI 2041: Ten Visions for Our Future</w:t>
      </w:r>
      <w:r>
        <w:t xml:space="preserve">. Nowy Jork: Currency, 2021.</w:t>
      </w:r>
    </w:p>
    <w:p>
      <w:pPr>
        <w:pStyle w:val="Compact"/>
        <w:numPr>
          <w:ilvl w:val="0"/>
          <w:numId w:val="1018"/>
        </w:numPr>
      </w:pPr>
      <w:r>
        <w:t xml:space="preserve">Lem, Stanisław.</w:t>
      </w:r>
      <w:r>
        <w:t xml:space="preserve"> </w:t>
      </w:r>
      <w:r>
        <w:rPr>
          <w:i/>
          <w:iCs/>
        </w:rPr>
        <w:t xml:space="preserve">Summa technologiae</w:t>
      </w:r>
      <w:r>
        <w:t xml:space="preserve">. Kraków: Wydawnictwo Literackie, 2020.</w:t>
      </w:r>
    </w:p>
    <w:p>
      <w:pPr>
        <w:pStyle w:val="Compact"/>
        <w:numPr>
          <w:ilvl w:val="0"/>
          <w:numId w:val="1018"/>
        </w:numPr>
      </w:pPr>
      <w:r>
        <w:t xml:space="preserve">Le Roy Ladurie, Emmanuel. „La fin des érudits”, https://histoirebnf.hypotheses.org/1505 (dostęp 19.10.2026).</w:t>
      </w:r>
    </w:p>
    <w:p>
      <w:pPr>
        <w:pStyle w:val="Compact"/>
        <w:numPr>
          <w:ilvl w:val="0"/>
          <w:numId w:val="1018"/>
        </w:numPr>
      </w:pPr>
      <w:r>
        <w:t xml:space="preserve">Li, Fei-Fei.</w:t>
      </w:r>
      <w:r>
        <w:t xml:space="preserve"> </w:t>
      </w:r>
      <w:r>
        <w:rPr>
          <w:i/>
          <w:iCs/>
        </w:rPr>
        <w:t xml:space="preserve">The Worlds I See: Curiosity, Exploration, and Discovery at the Dawn of AI</w:t>
      </w:r>
      <w:r>
        <w:t xml:space="preserve">. Nowy Jork: Flatiron Books, 2023.</w:t>
      </w:r>
    </w:p>
    <w:p>
      <w:pPr>
        <w:pStyle w:val="Compact"/>
        <w:numPr>
          <w:ilvl w:val="0"/>
          <w:numId w:val="1018"/>
        </w:numPr>
      </w:pPr>
      <w:r>
        <w:t xml:space="preserve">Li, Pengfei, Jianyi Yang, Mohammad A. Islam, Shaolei Ren. „Making AI Less ‘Thirsty’: Uncovering and Addressing the Secret Water Footprint of AI Models”. arXiv:2304.03271 (2023).</w:t>
      </w:r>
    </w:p>
    <w:p>
      <w:pPr>
        <w:pStyle w:val="Compact"/>
        <w:numPr>
          <w:ilvl w:val="0"/>
          <w:numId w:val="1018"/>
        </w:numPr>
      </w:pPr>
      <w:r>
        <w:t xml:space="preserve">MacAskill, William.</w:t>
      </w:r>
      <w:r>
        <w:t xml:space="preserve"> </w:t>
      </w:r>
      <w:r>
        <w:rPr>
          <w:i/>
          <w:iCs/>
        </w:rPr>
        <w:t xml:space="preserve">What We Owe the Future</w:t>
      </w:r>
      <w:r>
        <w:t xml:space="preserve">. Nowy Jork: Basic Books, 2022.</w:t>
      </w:r>
    </w:p>
    <w:p>
      <w:pPr>
        <w:pStyle w:val="Compact"/>
        <w:numPr>
          <w:ilvl w:val="0"/>
          <w:numId w:val="1018"/>
        </w:numPr>
      </w:pPr>
      <w:r>
        <w:t xml:space="preserve">Madary, Michael, Thomas K. Metzinger. „Real Virtuality: A Code of Ethical Conduct. Recommendations for Good Scientific Practice and the Consumers of VR-Technology”.</w:t>
      </w:r>
      <w:r>
        <w:t xml:space="preserve"> </w:t>
      </w:r>
      <w:r>
        <w:rPr>
          <w:i/>
          <w:iCs/>
        </w:rPr>
        <w:t xml:space="preserve">Frontiers in Robotics and AI</w:t>
      </w:r>
      <w:r>
        <w:t xml:space="preserve"> </w:t>
      </w:r>
      <w:r>
        <w:t xml:space="preserve">3 (2016): 3.</w:t>
      </w:r>
    </w:p>
    <w:p>
      <w:pPr>
        <w:pStyle w:val="Compact"/>
        <w:numPr>
          <w:ilvl w:val="0"/>
          <w:numId w:val="1018"/>
        </w:numPr>
      </w:pPr>
      <w:r>
        <w:t xml:space="preserve">Mallory, Fintan. „Wittgenstein, the Other, and Large Language Models”.</w:t>
      </w:r>
      <w:r>
        <w:t xml:space="preserve"> </w:t>
      </w:r>
      <w:r>
        <w:rPr>
          <w:i/>
          <w:iCs/>
        </w:rPr>
        <w:t xml:space="preserve">Filosofisk Supplement</w:t>
      </w:r>
      <w:r>
        <w:t xml:space="preserve"> </w:t>
      </w:r>
      <w:r>
        <w:t xml:space="preserve">2, nr 3 (2023): 79–87.</w:t>
      </w:r>
    </w:p>
    <w:p>
      <w:pPr>
        <w:pStyle w:val="Compact"/>
        <w:numPr>
          <w:ilvl w:val="0"/>
          <w:numId w:val="1018"/>
        </w:numPr>
      </w:pPr>
      <w:r>
        <w:t xml:space="preserve">Miller, Chris.</w:t>
      </w:r>
      <w:r>
        <w:t xml:space="preserve"> </w:t>
      </w:r>
      <w:r>
        <w:rPr>
          <w:i/>
          <w:iCs/>
        </w:rPr>
        <w:t xml:space="preserve">Wojna o czipy. Jak USA i Chiny walczą o technologiczną dominację nad światem</w:t>
      </w:r>
      <w:r>
        <w:t xml:space="preserve">. Przeł. Aleksandra Samson-Banasik, Michał Głatki. Warszawa: Prześwity, 2023.</w:t>
      </w:r>
    </w:p>
    <w:p>
      <w:pPr>
        <w:pStyle w:val="Compact"/>
        <w:numPr>
          <w:ilvl w:val="0"/>
          <w:numId w:val="1018"/>
        </w:numPr>
      </w:pPr>
      <w:r>
        <w:t xml:space="preserve">Mollick, Ethan.</w:t>
      </w:r>
      <w:r>
        <w:t xml:space="preserve"> </w:t>
      </w:r>
      <w:r>
        <w:rPr>
          <w:i/>
          <w:iCs/>
        </w:rPr>
        <w:t xml:space="preserve">Co-Intelligence: Living and Working with AI</w:t>
      </w:r>
      <w:r>
        <w:t xml:space="preserve">. Nowy Jork: Portfolio, 2024.</w:t>
      </w:r>
    </w:p>
    <w:p>
      <w:pPr>
        <w:pStyle w:val="Compact"/>
        <w:numPr>
          <w:ilvl w:val="0"/>
          <w:numId w:val="1018"/>
        </w:numPr>
      </w:pPr>
      <w:r>
        <w:t xml:space="preserve">Mollick, Ethan. „The Future of Education in a World of AI”, https://www.oneusefulthing.org/p/the-future-of-education-in-a-world (dostęp 19.10.2026).</w:t>
      </w:r>
    </w:p>
    <w:p>
      <w:pPr>
        <w:pStyle w:val="Compact"/>
        <w:numPr>
          <w:ilvl w:val="0"/>
          <w:numId w:val="1018"/>
        </w:numPr>
      </w:pPr>
      <w:r>
        <w:t xml:space="preserve">Mumford, Lewis.</w:t>
      </w:r>
      <w:r>
        <w:t xml:space="preserve"> </w:t>
      </w:r>
      <w:r>
        <w:rPr>
          <w:i/>
          <w:iCs/>
        </w:rPr>
        <w:t xml:space="preserve">Technika a cywilizacja. Historia rozwoju maszyny i jej wpływu na cywilizację</w:t>
      </w:r>
      <w:r>
        <w:t xml:space="preserve">. Przeł. Ewa Danecka. Warszawa: PWN, 1966.</w:t>
      </w:r>
    </w:p>
    <w:p>
      <w:pPr>
        <w:pStyle w:val="Compact"/>
        <w:numPr>
          <w:ilvl w:val="0"/>
          <w:numId w:val="1018"/>
        </w:numPr>
      </w:pPr>
      <w:r>
        <w:t xml:space="preserve">Narayanan, Arvind, Sayash Kapoor.</w:t>
      </w:r>
      <w:r>
        <w:t xml:space="preserve"> </w:t>
      </w:r>
      <w:r>
        <w:rPr>
          <w:i/>
          <w:iCs/>
        </w:rPr>
        <w:t xml:space="preserve">AI Snake Oil: What Artificial Intelligence Can Do, What It Can’t, and How to Tell the Difference</w:t>
      </w:r>
      <w:r>
        <w:t xml:space="preserve">. Princeton: Princeton University Press, 2024.</w:t>
      </w:r>
    </w:p>
    <w:p>
      <w:pPr>
        <w:pStyle w:val="Compact"/>
        <w:numPr>
          <w:ilvl w:val="0"/>
          <w:numId w:val="1018"/>
        </w:numPr>
      </w:pPr>
      <w:r>
        <w:t xml:space="preserve">Przegalińska, Aleksandra, Paweł Oksanowicz.</w:t>
      </w:r>
      <w:r>
        <w:t xml:space="preserve"> </w:t>
      </w:r>
      <w:r>
        <w:rPr>
          <w:i/>
          <w:iCs/>
        </w:rPr>
        <w:t xml:space="preserve">Sztuczna inteligencja. Nieludzka, arcyludzka</w:t>
      </w:r>
      <w:r>
        <w:t xml:space="preserve">. Kraków: Znak, 2020.</w:t>
      </w:r>
    </w:p>
    <w:p>
      <w:pPr>
        <w:pStyle w:val="Compact"/>
        <w:numPr>
          <w:ilvl w:val="0"/>
          <w:numId w:val="1018"/>
        </w:numPr>
      </w:pPr>
      <w:r>
        <w:t xml:space="preserve">Przegalińska, Aleksandra, Dariusz Jemielniak.</w:t>
      </w:r>
      <w:r>
        <w:t xml:space="preserve"> </w:t>
      </w:r>
      <w:r>
        <w:rPr>
          <w:i/>
          <w:iCs/>
        </w:rPr>
        <w:t xml:space="preserve">AI w strategii: rewolucja sztucznej inteligencji w zarządzaniu</w:t>
      </w:r>
      <w:r>
        <w:t xml:space="preserve">. Warszawa: MT Biznes, 2023.</w:t>
      </w:r>
    </w:p>
    <w:p>
      <w:pPr>
        <w:pStyle w:val="Compact"/>
        <w:numPr>
          <w:ilvl w:val="0"/>
          <w:numId w:val="1018"/>
        </w:numPr>
      </w:pPr>
      <w:r>
        <w:t xml:space="preserve">Sakowska-Baryła, Marlena (red.).</w:t>
      </w:r>
      <w:r>
        <w:t xml:space="preserve"> </w:t>
      </w:r>
      <w:r>
        <w:rPr>
          <w:i/>
          <w:iCs/>
        </w:rPr>
        <w:t xml:space="preserve">Prawo sztucznej inteligencji i nowych technologii</w:t>
      </w:r>
      <w:r>
        <w:t xml:space="preserve">. Warszawa: Wolters Kluwer, 2021.</w:t>
      </w:r>
    </w:p>
    <w:p>
      <w:pPr>
        <w:pStyle w:val="Compact"/>
        <w:numPr>
          <w:ilvl w:val="0"/>
          <w:numId w:val="1018"/>
        </w:numPr>
      </w:pPr>
      <w:r>
        <w:t xml:space="preserve">Sakowska-Baryła, Marlena (red.).</w:t>
      </w:r>
      <w:r>
        <w:t xml:space="preserve"> </w:t>
      </w:r>
      <w:r>
        <w:rPr>
          <w:i/>
          <w:iCs/>
        </w:rPr>
        <w:t xml:space="preserve">Prawo sztucznej inteligencji i nowych technologii 2</w:t>
      </w:r>
      <w:r>
        <w:t xml:space="preserve">. Warszawa: Wolters Kluwer, 2021.</w:t>
      </w:r>
    </w:p>
    <w:p>
      <w:pPr>
        <w:pStyle w:val="Compact"/>
        <w:numPr>
          <w:ilvl w:val="0"/>
          <w:numId w:val="1018"/>
        </w:numPr>
      </w:pPr>
      <w:r>
        <w:t xml:space="preserve">du Sautoy, Marcus.</w:t>
      </w:r>
      <w:r>
        <w:t xml:space="preserve"> </w:t>
      </w:r>
      <w:r>
        <w:rPr>
          <w:i/>
          <w:iCs/>
        </w:rPr>
        <w:t xml:space="preserve">Kod kreatywności. Sztuka i innowacje w epoce sztucznej inteligencji</w:t>
      </w:r>
      <w:r>
        <w:t xml:space="preserve">. Przeł. Tadeusz Chawziuk. Kraków: Copernicus Center Press, 2020.</w:t>
      </w:r>
    </w:p>
    <w:p>
      <w:pPr>
        <w:pStyle w:val="Compact"/>
        <w:numPr>
          <w:ilvl w:val="0"/>
          <w:numId w:val="1018"/>
        </w:numPr>
      </w:pPr>
      <w:r>
        <w:t xml:space="preserve">Shin, Minkyu, Jin Kim, Bas van Opheusden, Thomas L. Griffiths. „Superhuman Artificial Intelligence Can Improve Human Decision-Making by Increasing Novelty”.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120, nr 12 (2023): e2214840120.</w:t>
      </w:r>
    </w:p>
    <w:p>
      <w:pPr>
        <w:pStyle w:val="Compact"/>
        <w:numPr>
          <w:ilvl w:val="0"/>
          <w:numId w:val="1018"/>
        </w:numPr>
      </w:pPr>
      <w:r>
        <w:t xml:space="preserve">Simon, Zoltán Boldizsár.</w:t>
      </w:r>
      <w:r>
        <w:t xml:space="preserve"> </w:t>
      </w:r>
      <w:r>
        <w:rPr>
          <w:i/>
          <w:iCs/>
        </w:rPr>
        <w:t xml:space="preserve">History in Times of Unprecedented Change: A Theory for the 21st Century</w:t>
      </w:r>
      <w:r>
        <w:t xml:space="preserve">. Londyn: Bloomsbury Academic, 2019.</w:t>
      </w:r>
    </w:p>
    <w:p>
      <w:pPr>
        <w:pStyle w:val="Compact"/>
        <w:numPr>
          <w:ilvl w:val="0"/>
          <w:numId w:val="1018"/>
        </w:numPr>
      </w:pPr>
      <w:r>
        <w:t xml:space="preserve">Stephens-Davidowitz, Seth.</w:t>
      </w:r>
      <w:r>
        <w:t xml:space="preserve"> </w:t>
      </w:r>
      <w:r>
        <w:rPr>
          <w:i/>
          <w:iCs/>
        </w:rPr>
        <w:t xml:space="preserve">Wszyscy kłamią. Big data, nowe dane i wszystko, co internet może nam powiedzieć o tym, kim naprawdę jesteśmy</w:t>
      </w:r>
      <w:r>
        <w:t xml:space="preserve">. Przeł. Maciej Świerkocki. Kraków: Wydawnictwo Literackie, 2019.</w:t>
      </w:r>
    </w:p>
    <w:p>
      <w:pPr>
        <w:pStyle w:val="Compact"/>
        <w:numPr>
          <w:ilvl w:val="0"/>
          <w:numId w:val="1018"/>
        </w:numPr>
      </w:pPr>
      <w:r>
        <w:t xml:space="preserve">Strachan, James W. A., Dalila Albergo, Giulia Borghini et al. „Testing Theory of Mind in Large Language Models and Humans”.</w:t>
      </w:r>
      <w:r>
        <w:t xml:space="preserve"> </w:t>
      </w:r>
      <w:r>
        <w:rPr>
          <w:i/>
          <w:iCs/>
        </w:rPr>
        <w:t xml:space="preserve">Nature Human Behaviour</w:t>
      </w:r>
      <w:r>
        <w:t xml:space="preserve"> </w:t>
      </w:r>
      <w:r>
        <w:t xml:space="preserve">8 (2024): 1285–1295.</w:t>
      </w:r>
    </w:p>
    <w:p>
      <w:pPr>
        <w:pStyle w:val="Compact"/>
        <w:numPr>
          <w:ilvl w:val="0"/>
          <w:numId w:val="1018"/>
        </w:numPr>
      </w:pPr>
      <w:r>
        <w:t xml:space="preserve">Suleyman, Mustafa, Michael Bhaskar.</w:t>
      </w:r>
      <w:r>
        <w:t xml:space="preserve"> </w:t>
      </w:r>
      <w:r>
        <w:rPr>
          <w:i/>
          <w:iCs/>
        </w:rPr>
        <w:t xml:space="preserve">The Coming Wave: Technology, Power, and the Twenty-First Century’s Greatest Dilemma</w:t>
      </w:r>
      <w:r>
        <w:t xml:space="preserve">. Londyn: Bodley Head, 2023.</w:t>
      </w:r>
    </w:p>
    <w:p>
      <w:pPr>
        <w:pStyle w:val="Compact"/>
        <w:numPr>
          <w:ilvl w:val="0"/>
          <w:numId w:val="1018"/>
        </w:numPr>
      </w:pPr>
      <w:r>
        <w:t xml:space="preserve">Tegmark, Max.</w:t>
      </w:r>
      <w:r>
        <w:t xml:space="preserve"> </w:t>
      </w:r>
      <w:r>
        <w:rPr>
          <w:i/>
          <w:iCs/>
        </w:rPr>
        <w:t xml:space="preserve">Życie 3.0. Człowiek w erze sztucznej inteligencji</w:t>
      </w:r>
      <w:r>
        <w:t xml:space="preserve">. Przeł. Tomasz Krzysztoń. Warszawa: Prószyński i S-ka, 2019.</w:t>
      </w:r>
    </w:p>
    <w:p>
      <w:pPr>
        <w:pStyle w:val="Compact"/>
        <w:numPr>
          <w:ilvl w:val="0"/>
          <w:numId w:val="1018"/>
        </w:numPr>
      </w:pPr>
      <w:r>
        <w:t xml:space="preserve">Wolfram, Stephen.</w:t>
      </w:r>
      <w:r>
        <w:t xml:space="preserve"> </w:t>
      </w:r>
      <w:r>
        <w:rPr>
          <w:i/>
          <w:iCs/>
        </w:rPr>
        <w:t xml:space="preserve">A New Kind of Science</w:t>
      </w:r>
      <w:r>
        <w:t xml:space="preserve">. Champaign, IL: Wolfram Media, 2002.</w:t>
      </w:r>
    </w:p>
    <w:p>
      <w:pPr>
        <w:pStyle w:val="Compact"/>
        <w:numPr>
          <w:ilvl w:val="0"/>
          <w:numId w:val="1018"/>
        </w:numPr>
      </w:pPr>
      <w:r>
        <w:t xml:space="preserve">Yang, Hui, Sifu Yue, Yunzhong He. „Auto-GPT for Online Decision Making: Benchmarks and Additional Opinions”. arXiv:2306.02224 (2023).</w:t>
      </w:r>
    </w:p>
    <w:p>
      <w:pPr>
        <w:pStyle w:val="Compact"/>
        <w:numPr>
          <w:ilvl w:val="0"/>
          <w:numId w:val="1018"/>
        </w:numPr>
      </w:pPr>
      <w:r>
        <w:t xml:space="preserve">Zybertowicz, Andrzej, Jarema Piekutowski.</w:t>
      </w:r>
      <w:r>
        <w:t xml:space="preserve"> </w:t>
      </w:r>
      <w:r>
        <w:rPr>
          <w:i/>
          <w:iCs/>
        </w:rPr>
        <w:t xml:space="preserve">Cyber kontra real. Cywilizacja w techno-pułapce</w:t>
      </w:r>
      <w:r>
        <w:t xml:space="preserve">. Warszawa: Wydawnictwo Nowej Konfederacji, 2022.</w:t>
      </w:r>
    </w:p>
    <w:bookmarkEnd w:id="23"/>
    <w:bookmarkEnd w:id="24"/>
    <w:sectPr w:rsidR="00720464" w:rsidRPr="003834C3" w:rsidSect="00492F48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DF7665D"/>
    <w:multiLevelType w:val="multilevel"/>
    <w:tmpl w:val="9D9006D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">
    <w:nsid w:val="12741996"/>
    <w:multiLevelType w:val="multilevel"/>
    <w:tmpl w:val="811C818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">
    <w:nsid w:val="1A4178B8"/>
    <w:multiLevelType w:val="multilevel"/>
    <w:tmpl w:val="F43C69E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">
    <w:nsid w:val="1ADC1A53"/>
    <w:multiLevelType w:val="multilevel"/>
    <w:tmpl w:val="15664D6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">
    <w:nsid w:val="1CC034BD"/>
    <w:multiLevelType w:val="multilevel"/>
    <w:tmpl w:val="DBD65E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">
    <w:nsid w:val="2DAA1B3D"/>
    <w:multiLevelType w:val="multilevel"/>
    <w:tmpl w:val="4E0A35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">
    <w:nsid w:val="2F9A70B5"/>
    <w:multiLevelType w:val="multilevel"/>
    <w:tmpl w:val="5976959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">
    <w:nsid w:val="33D410CB"/>
    <w:multiLevelType w:val="multilevel"/>
    <w:tmpl w:val="D074917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8">
    <w:nsid w:val="374646FE"/>
    <w:multiLevelType w:val="multilevel"/>
    <w:tmpl w:val="9CC0D9C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9">
    <w:nsid w:val="3ACC63EE"/>
    <w:multiLevelType w:val="multilevel"/>
    <w:tmpl w:val="0415001D"/>
    <w:styleLink w:val="Styl3"/>
    <w:lvl w:ilvl="0">
      <w:start w:val="1"/>
      <w:numFmt w:val="decimal"/>
      <w:lvlText w:val="%1)"/>
      <w:lvlJc w:val="left"/>
      <w:pPr>
        <w:ind w:hanging="360" w:left="360"/>
      </w:pPr>
      <w:rPr>
        <w:rFonts w:cs="Times New Roman"/>
        <w:color w:val="4F81BD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cs="Times New Roman"/>
      </w:rPr>
    </w:lvl>
  </w:abstractNum>
  <w:abstractNum w15:restartNumberingAfterBreak="0" w:abstractNumId="10">
    <w:nsid w:val="3BCA758A"/>
    <w:multiLevelType w:val="multilevel"/>
    <w:tmpl w:val="0415001D"/>
    <w:numStyleLink w:val="Styl3"/>
  </w:abstractNum>
  <w:abstractNum w15:restartNumberingAfterBreak="0" w:abstractNumId="11">
    <w:nsid w:val="4CED716F"/>
    <w:multiLevelType w:val="multilevel"/>
    <w:tmpl w:val="0415001D"/>
    <w:styleLink w:val="Styl2"/>
    <w:lvl w:ilvl="0">
      <w:start w:val="1"/>
      <w:numFmt w:val="decimal"/>
      <w:lvlText w:val="%1)"/>
      <w:lvlJc w:val="left"/>
      <w:pPr>
        <w:ind w:hanging="360" w:left="360"/>
      </w:pPr>
      <w:rPr>
        <w:rFonts w:cs="Times New Roman"/>
        <w:color w:val="auto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cs="Times New Roman"/>
      </w:rPr>
    </w:lvl>
    <w:lvl w:ilvl="2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4F81BD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cs="Times New Roman"/>
      </w:rPr>
    </w:lvl>
  </w:abstractNum>
  <w:abstractNum w15:restartNumberingAfterBreak="0" w:abstractNumId="12">
    <w:nsid w:val="4E056329"/>
    <w:multiLevelType w:val="multilevel"/>
    <w:tmpl w:val="B86C89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3">
    <w:nsid w:val="4EC058C6"/>
    <w:multiLevelType w:val="multilevel"/>
    <w:tmpl w:val="07C0D3A4"/>
    <w:styleLink w:val="Styl1"/>
    <w:lvl w:ilvl="0">
      <w:start w:val="1"/>
      <w:numFmt w:val="decimal"/>
      <w:lvlText w:val="%1."/>
      <w:lvlJc w:val="left"/>
      <w:pPr>
        <w:ind w:hanging="360" w:left="72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cs="Times New Roman"/>
      </w:rPr>
    </w:lvl>
    <w:lvl w:ilvl="2">
      <w:start w:val="1"/>
      <w:numFmt w:val="bullet"/>
      <w:lvlText w:val=""/>
      <w:lvlJc w:val="left"/>
      <w:pPr>
        <w:ind w:hanging="180" w:left="21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cs="Times New Roman"/>
      </w:rPr>
    </w:lvl>
  </w:abstractNum>
  <w:abstractNum w15:restartNumberingAfterBreak="0" w:abstractNumId="14">
    <w:nsid w:val="52931D05"/>
    <w:multiLevelType w:val="multilevel"/>
    <w:tmpl w:val="DA94F6D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5">
    <w:nsid w:val="574A7F02"/>
    <w:multiLevelType w:val="multilevel"/>
    <w:tmpl w:val="944A659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6">
    <w:nsid w:val="64F144A1"/>
    <w:multiLevelType w:val="multilevel"/>
    <w:tmpl w:val="D1787230"/>
    <w:lvl w:ilvl="0">
      <w:start w:val="1"/>
      <w:numFmt w:val="decimal"/>
      <w:lvlText w:val="%1)"/>
      <w:lvlJc w:val="left"/>
      <w:pPr>
        <w:ind w:hanging="360" w:left="360"/>
      </w:pPr>
      <w:rPr>
        <w:rFonts w:cs="Times New Roman" w:hint="default"/>
        <w:color w:val="4F81BD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cs="Times New Roman" w:hint="default"/>
      </w:rPr>
    </w:lvl>
  </w:abstractNum>
  <w:abstractNum w15:restartNumberingAfterBreak="0" w:abstractNumId="17">
    <w:nsid w:val="6B2D5FE7"/>
    <w:multiLevelType w:val="multilevel"/>
    <w:tmpl w:val="DCE0418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8">
    <w:nsid w:val="7DF0337D"/>
    <w:multiLevelType w:val="multilevel"/>
    <w:tmpl w:val="FDF0818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02043994" w:numId="1">
    <w:abstractNumId w:val="10"/>
  </w:num>
  <w:num w16cid:durableId="367027413" w:numId="2">
    <w:abstractNumId w:val="13"/>
  </w:num>
  <w:num w16cid:durableId="90201557" w:numId="3">
    <w:abstractNumId w:val="11"/>
  </w:num>
  <w:num w16cid:durableId="144660910" w:numId="4">
    <w:abstractNumId w:val="9"/>
  </w:num>
  <w:num w16cid:durableId="2123916148" w:numId="5">
    <w:abstractNumId w:val="16"/>
  </w:num>
  <w:num w16cid:durableId="1037657809" w:numId="6">
    <w:abstractNumId w:val="6"/>
  </w:num>
  <w:num w16cid:durableId="1451122250" w:numId="7">
    <w:abstractNumId w:val="4"/>
  </w:num>
  <w:num w16cid:durableId="1476333402" w:numId="8">
    <w:abstractNumId w:val="18"/>
  </w:num>
  <w:num w16cid:durableId="1834105453" w:numId="9">
    <w:abstractNumId w:val="5"/>
  </w:num>
  <w:num w16cid:durableId="109710049" w:numId="10">
    <w:abstractNumId w:val="7"/>
  </w:num>
  <w:num w16cid:durableId="111561550" w:numId="11">
    <w:abstractNumId w:val="3"/>
  </w:num>
  <w:num w16cid:durableId="29769001" w:numId="12">
    <w:abstractNumId w:val="8"/>
  </w:num>
  <w:num w16cid:durableId="1796947205" w:numId="13">
    <w:abstractNumId w:val="1"/>
  </w:num>
  <w:num w16cid:durableId="2031103806" w:numId="14">
    <w:abstractNumId w:val="2"/>
  </w:num>
  <w:num w16cid:durableId="1124156285" w:numId="15">
    <w:abstractNumId w:val="0"/>
  </w:num>
  <w:num w16cid:durableId="1857232526" w:numId="16">
    <w:abstractNumId w:val="15"/>
  </w:num>
  <w:num w16cid:durableId="421875618" w:numId="17">
    <w:abstractNumId w:val="14"/>
  </w:num>
  <w:num w16cid:durableId="394664613" w:numId="18">
    <w:abstractNumId w:val="12"/>
  </w:num>
  <w:num w16cid:durableId="1442913595" w:numId="19">
    <w:abstractNumId w:val="1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38"/>
    <w:rsid w:val="00006FB7"/>
    <w:rsid w:val="00013954"/>
    <w:rsid w:val="000309CE"/>
    <w:rsid w:val="00041557"/>
    <w:rsid w:val="00061D71"/>
    <w:rsid w:val="00090593"/>
    <w:rsid w:val="000A3316"/>
    <w:rsid w:val="000B0850"/>
    <w:rsid w:val="000B3BEA"/>
    <w:rsid w:val="000C4F76"/>
    <w:rsid w:val="000D3CBE"/>
    <w:rsid w:val="000D7A37"/>
    <w:rsid w:val="000F52A8"/>
    <w:rsid w:val="001108CB"/>
    <w:rsid w:val="00116E36"/>
    <w:rsid w:val="00125640"/>
    <w:rsid w:val="001B7333"/>
    <w:rsid w:val="001C2CC3"/>
    <w:rsid w:val="001C4999"/>
    <w:rsid w:val="001E4C0E"/>
    <w:rsid w:val="002155F0"/>
    <w:rsid w:val="00221752"/>
    <w:rsid w:val="00233C0A"/>
    <w:rsid w:val="00267C0C"/>
    <w:rsid w:val="00291B96"/>
    <w:rsid w:val="002C4FD5"/>
    <w:rsid w:val="002E557E"/>
    <w:rsid w:val="002F6EEE"/>
    <w:rsid w:val="00316BB8"/>
    <w:rsid w:val="003267E7"/>
    <w:rsid w:val="00381B1F"/>
    <w:rsid w:val="003834C3"/>
    <w:rsid w:val="003E1F82"/>
    <w:rsid w:val="003E2426"/>
    <w:rsid w:val="003F20A1"/>
    <w:rsid w:val="00427461"/>
    <w:rsid w:val="00434094"/>
    <w:rsid w:val="004429C9"/>
    <w:rsid w:val="00445679"/>
    <w:rsid w:val="0046635C"/>
    <w:rsid w:val="00467B40"/>
    <w:rsid w:val="00473A8C"/>
    <w:rsid w:val="00491738"/>
    <w:rsid w:val="00492F48"/>
    <w:rsid w:val="0049454D"/>
    <w:rsid w:val="004A2C8C"/>
    <w:rsid w:val="00536AEE"/>
    <w:rsid w:val="00541907"/>
    <w:rsid w:val="005436A9"/>
    <w:rsid w:val="00557900"/>
    <w:rsid w:val="00566B33"/>
    <w:rsid w:val="005810F0"/>
    <w:rsid w:val="00592D32"/>
    <w:rsid w:val="005A10E2"/>
    <w:rsid w:val="005D636A"/>
    <w:rsid w:val="005E7D2D"/>
    <w:rsid w:val="00623A38"/>
    <w:rsid w:val="00637931"/>
    <w:rsid w:val="00641786"/>
    <w:rsid w:val="006C42FA"/>
    <w:rsid w:val="006F461F"/>
    <w:rsid w:val="00702F5C"/>
    <w:rsid w:val="00705B41"/>
    <w:rsid w:val="007073F1"/>
    <w:rsid w:val="00720464"/>
    <w:rsid w:val="0073060E"/>
    <w:rsid w:val="007320C7"/>
    <w:rsid w:val="0073239B"/>
    <w:rsid w:val="00763305"/>
    <w:rsid w:val="007702AA"/>
    <w:rsid w:val="007836BE"/>
    <w:rsid w:val="007A1943"/>
    <w:rsid w:val="007A54A9"/>
    <w:rsid w:val="007B3322"/>
    <w:rsid w:val="007F0A51"/>
    <w:rsid w:val="007F6153"/>
    <w:rsid w:val="008456FD"/>
    <w:rsid w:val="00873EC6"/>
    <w:rsid w:val="00885202"/>
    <w:rsid w:val="008A4AD1"/>
    <w:rsid w:val="008A4B0F"/>
    <w:rsid w:val="008B1DD8"/>
    <w:rsid w:val="008B317F"/>
    <w:rsid w:val="008F7D76"/>
    <w:rsid w:val="00900E3C"/>
    <w:rsid w:val="00920486"/>
    <w:rsid w:val="0092588C"/>
    <w:rsid w:val="00942404"/>
    <w:rsid w:val="009515C6"/>
    <w:rsid w:val="00955134"/>
    <w:rsid w:val="00957288"/>
    <w:rsid w:val="00975836"/>
    <w:rsid w:val="00983D4C"/>
    <w:rsid w:val="009915C5"/>
    <w:rsid w:val="009A2FB7"/>
    <w:rsid w:val="009B652C"/>
    <w:rsid w:val="009C5FB4"/>
    <w:rsid w:val="009D1CC5"/>
    <w:rsid w:val="009E029A"/>
    <w:rsid w:val="00A06817"/>
    <w:rsid w:val="00A1543A"/>
    <w:rsid w:val="00A40BE0"/>
    <w:rsid w:val="00A41A1E"/>
    <w:rsid w:val="00A42107"/>
    <w:rsid w:val="00A51090"/>
    <w:rsid w:val="00A817E0"/>
    <w:rsid w:val="00A91C3C"/>
    <w:rsid w:val="00AA291A"/>
    <w:rsid w:val="00AD6ABF"/>
    <w:rsid w:val="00AD790D"/>
    <w:rsid w:val="00AF39D0"/>
    <w:rsid w:val="00B0222E"/>
    <w:rsid w:val="00B1110C"/>
    <w:rsid w:val="00B13188"/>
    <w:rsid w:val="00B20C59"/>
    <w:rsid w:val="00B40C20"/>
    <w:rsid w:val="00B91D4C"/>
    <w:rsid w:val="00BA2515"/>
    <w:rsid w:val="00BA5C8D"/>
    <w:rsid w:val="00C24F24"/>
    <w:rsid w:val="00C31418"/>
    <w:rsid w:val="00C453BD"/>
    <w:rsid w:val="00C5748E"/>
    <w:rsid w:val="00CA71CD"/>
    <w:rsid w:val="00CA7ADE"/>
    <w:rsid w:val="00CB1013"/>
    <w:rsid w:val="00CE27D2"/>
    <w:rsid w:val="00D11321"/>
    <w:rsid w:val="00D14050"/>
    <w:rsid w:val="00D20700"/>
    <w:rsid w:val="00D356B8"/>
    <w:rsid w:val="00D8117C"/>
    <w:rsid w:val="00DC7D42"/>
    <w:rsid w:val="00DD72B9"/>
    <w:rsid w:val="00DE1048"/>
    <w:rsid w:val="00E07DC5"/>
    <w:rsid w:val="00E31AFC"/>
    <w:rsid w:val="00E43D58"/>
    <w:rsid w:val="00E46300"/>
    <w:rsid w:val="00E52844"/>
    <w:rsid w:val="00E55297"/>
    <w:rsid w:val="00E57417"/>
    <w:rsid w:val="00E73246"/>
    <w:rsid w:val="00E756F1"/>
    <w:rsid w:val="00EA09F8"/>
    <w:rsid w:val="00EF1A40"/>
    <w:rsid w:val="00EF545A"/>
    <w:rsid w:val="00EF70DB"/>
    <w:rsid w:val="00EF786A"/>
    <w:rsid w:val="00F0598E"/>
    <w:rsid w:val="00F40BD0"/>
    <w:rsid w:val="00F9477F"/>
    <w:rsid w:val="00F962A9"/>
    <w:rsid w:val="00FC2E43"/>
    <w:rsid w:val="00FC3545"/>
    <w:rsid w:val="00FD3FBA"/>
  </w:rsids>
  <w:themeFontLang w:val="pl-PL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Calibri" w:hAnsi="Calibri"/>
        <w:sz w:val="22"/>
        <w:szCs w:val="22"/>
        <w:lang w:bidi="ar-SA" w:eastAsia="pl-PL" w:val="pl"/>
      </w:rPr>
    </w:rPrDefault>
    <w:pPrDefault/>
  </w:docDefaults>
  <w:latentStyles w:count="376" w:defLockedState="0" w:defQFormat="0" w:defSemiHidden="0" w:defUIPriority="99" w:defUnhideWhenUsed="0">
    <w:lsdException w:locked="1" w:name="Normal" w:qFormat="1" w:uiPriority="0"/>
    <w:lsdException w:locked="1" w:name="heading 1" w:qFormat="1" w:uiPriority="0"/>
    <w:lsdException w:locked="1" w:name="heading 2" w:qFormat="1" w:uiPriority="0"/>
    <w:lsdException w:locked="1" w:name="heading 3" w:qFormat="1" w:semiHidden="1" w:uiPriority="0" w:unhideWhenUsed="1"/>
    <w:lsdException w:locked="1" w:name="heading 4" w:qFormat="1" w:semiHidden="1" w:uiPriority="0" w:unhideWhenUsed="1"/>
    <w:lsdException w:locked="1" w:name="heading 5" w:qFormat="1" w:semiHidden="1" w:uiPriority="0" w:unhideWhenUsed="1"/>
    <w:lsdException w:locked="1" w:name="heading 6" w:qFormat="1" w:semiHidden="1" w:uiPriority="0" w:unhideWhenUsed="1"/>
    <w:lsdException w:locked="1" w:name="heading 7" w:qFormat="1" w:semiHidden="1" w:uiPriority="0" w:unhideWhenUsed="1"/>
    <w:lsdException w:locked="1" w:name="heading 8" w:qFormat="1" w:semiHidden="1" w:uiPriority="0" w:unhideWhenUsed="1"/>
    <w:lsdException w:locked="1" w:name="heading 9" w:qFormat="1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locked="1" w:name="toc 1" w:uiPriority="0"/>
    <w:lsdException w:locked="1" w:name="toc 2" w:uiPriority="0"/>
    <w:lsdException w:locked="1" w:name="toc 3" w:uiPriority="0"/>
    <w:lsdException w:locked="1" w:name="toc 4" w:uiPriority="0"/>
    <w:lsdException w:locked="1" w:name="toc 5" w:uiPriority="0"/>
    <w:lsdException w:locked="1" w:name="toc 6" w:uiPriority="0"/>
    <w:lsdException w:locked="1" w:name="toc 7" w:uiPriority="0"/>
    <w:lsdException w:locked="1" w:name="toc 8" w:uiPriority="0"/>
    <w:lsdException w:locked="1" w:name="toc 9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locked="1" w:name="caption" w:qFormat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locked="1" w:name="Title" w:qFormat="1" w:uiPriority="0"/>
    <w:lsdException w:name="Closing" w:semiHidden="1" w:unhideWhenUsed="1"/>
    <w:lsdException w:name="Signature" w:semiHidden="1" w:unhideWhenUsed="1"/>
    <w:lsdException w:locked="1"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locked="1" w:name="Subtitle" w:qFormat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locked="1" w:name="Strong" w:qFormat="1" w:uiPriority="0"/>
    <w:lsdException w:locked="1" w:name="Emphasis" w:qFormat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locked="1"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ny" w:type="paragraph">
    <w:name w:val="Normal"/>
    <w:qFormat/>
    <w:rsid w:val="00492F48"/>
    <w:pPr>
      <w:spacing w:after="200" w:line="276" w:lineRule="auto"/>
    </w:pPr>
    <w:rPr>
      <w:lang w:eastAsia="en-US"/>
    </w:rPr>
  </w:style>
  <w:style w:styleId="Nagwek1" w:type="paragraph">
    <w:name w:val="heading 1"/>
    <w:basedOn w:val="Normalny"/>
    <w:next w:val="Normalny"/>
    <w:link w:val="Nagwek1Znak"/>
    <w:uiPriority w:val="99"/>
    <w:qFormat/>
    <w:rsid w:val="00491738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styleId="Nagwek2" w:type="paragraph">
    <w:name w:val="heading 2"/>
    <w:basedOn w:val="Normalny"/>
    <w:next w:val="Normalny"/>
    <w:link w:val="Nagwek2Znak"/>
    <w:uiPriority w:val="99"/>
    <w:qFormat/>
    <w:rsid w:val="00491738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styleId="Nagwek3" w:type="paragraph">
    <w:name w:val="heading 3"/>
    <w:basedOn w:val="Normalny"/>
    <w:next w:val="Normalny"/>
    <w:link w:val="Nagwek3Znak"/>
    <w:semiHidden/>
    <w:unhideWhenUsed/>
    <w:qFormat/>
    <w:locked/>
    <w:rsid w:val="009D1CC5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243F60"/>
      <w:sz w:val="24"/>
      <w:szCs w:val="24"/>
    </w:rPr>
  </w:style>
  <w:style w:default="1" w:styleId="Domylnaczcionkaakapitu" w:type="character">
    <w:name w:val="Default Paragraph Font"/>
    <w:uiPriority w:val="1"/>
    <w:unhideWhenUsed/>
  </w:style>
  <w:style w:default="1" w:styleId="Standardowy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Bezlisty" w:type="numbering">
    <w:name w:val="No List"/>
    <w:uiPriority w:val="99"/>
    <w:semiHidden/>
    <w:unhideWhenUsed/>
  </w:style>
  <w:style w:customStyle="1" w:styleId="Nagwek1Znak" w:type="character">
    <w:name w:val="Nagłówek 1 Znak"/>
    <w:basedOn w:val="Domylnaczcionkaakapitu"/>
    <w:link w:val="Nagwek1"/>
    <w:uiPriority w:val="99"/>
    <w:locked/>
    <w:rsid w:val="00491738"/>
    <w:rPr>
      <w:rFonts w:ascii="Cambria" w:cs="Times New Roman" w:hAnsi="Cambria"/>
      <w:b/>
      <w:bCs/>
      <w:color w:val="365F91"/>
      <w:sz w:val="28"/>
      <w:szCs w:val="28"/>
    </w:rPr>
  </w:style>
  <w:style w:customStyle="1" w:styleId="Nagwek2Znak" w:type="character">
    <w:name w:val="Nagłówek 2 Znak"/>
    <w:basedOn w:val="Domylnaczcionkaakapitu"/>
    <w:link w:val="Nagwek2"/>
    <w:uiPriority w:val="99"/>
    <w:locked/>
    <w:rsid w:val="00491738"/>
    <w:rPr>
      <w:rFonts w:ascii="Cambria" w:cs="Times New Roman" w:hAnsi="Cambria"/>
      <w:b/>
      <w:bCs/>
      <w:color w:val="4F81BD"/>
      <w:sz w:val="26"/>
      <w:szCs w:val="26"/>
    </w:rPr>
  </w:style>
  <w:style w:styleId="Tabela-Siatka" w:type="table">
    <w:name w:val="Table Grid"/>
    <w:basedOn w:val="Standardowy"/>
    <w:uiPriority w:val="99"/>
    <w:rsid w:val="00491738"/>
    <w:rPr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kapitzlist" w:type="paragraph">
    <w:name w:val="List Paragraph"/>
    <w:basedOn w:val="Normalny"/>
    <w:uiPriority w:val="99"/>
    <w:qFormat/>
    <w:rsid w:val="002F6EEE"/>
    <w:pPr>
      <w:ind w:left="720"/>
      <w:contextualSpacing/>
    </w:pPr>
  </w:style>
  <w:style w:customStyle="1" w:styleId="Styl3" w:type="numbering">
    <w:name w:val="Styl3"/>
    <w:rsid w:val="00A06E58"/>
    <w:pPr>
      <w:numPr>
        <w:numId w:val="4"/>
      </w:numPr>
    </w:pPr>
  </w:style>
  <w:style w:customStyle="1" w:styleId="Styl2" w:type="numbering">
    <w:name w:val="Styl2"/>
    <w:rsid w:val="00A06E58"/>
    <w:pPr>
      <w:numPr>
        <w:numId w:val="3"/>
      </w:numPr>
    </w:pPr>
  </w:style>
  <w:style w:customStyle="1" w:styleId="Styl1" w:type="numbering">
    <w:name w:val="Styl1"/>
    <w:rsid w:val="00A06E58"/>
    <w:pPr>
      <w:numPr>
        <w:numId w:val="2"/>
      </w:numPr>
    </w:pPr>
  </w:style>
  <w:style w:styleId="Hipercze" w:type="character">
    <w:name w:val="Hyperlink"/>
    <w:basedOn w:val="Domylnaczcionkaakapitu"/>
    <w:uiPriority w:val="99"/>
    <w:unhideWhenUsed/>
    <w:rsid w:val="00A06817"/>
    <w:rPr>
      <w:color w:themeColor="hyperlink" w:val="0000FF"/>
      <w:u w:val="single"/>
    </w:rPr>
  </w:style>
  <w:style w:styleId="Nierozpoznanawzmianka" w:type="character">
    <w:name w:val="Unresolved Mention"/>
    <w:basedOn w:val="Domylnaczcionkaakapitu"/>
    <w:uiPriority w:val="99"/>
    <w:semiHidden/>
    <w:unhideWhenUsed/>
    <w:rsid w:val="00A06817"/>
    <w:rPr>
      <w:color w:val="605E5C"/>
      <w:shd w:color="auto" w:fill="E1DFDD" w:val="clear"/>
    </w:rPr>
  </w:style>
  <w:style w:customStyle="1" w:styleId="Nagwek3Znak" w:type="character">
    <w:name w:val="Nagłówek 3 Znak"/>
    <w:basedOn w:val="Domylnaczcionkaakapitu"/>
    <w:link w:val="Nagwek3"/>
    <w:semiHidden/>
    <w:rsid w:val="009D1CC5"/>
    <w:rPr>
      <w:rFonts w:asciiTheme="majorHAnsi" w:cstheme="majorBidi" w:eastAsiaTheme="majorEastAsia" w:hAnsiTheme="majorHAnsi"/>
      <w:color w:themeColor="accent1" w:themeShade="7F" w:val="243F60"/>
      <w:sz w:val="24"/>
      <w:szCs w:val="24"/>
      <w:lang w:eastAsia="en-US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2761</Words>
  <Characters>16567</Characters>
  <Application>Microsoft Office Word</Application>
  <DocSecurity>0</DocSecurity>
  <Lines>138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Nazwa:</vt:lpstr>
    </vt:vector>
  </TitlesOfParts>
  <Company/>
  <LinksUpToDate>false</LinksUpToDate>
  <CharactersWithSpaces>19290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Sztuczna inteligencja. Wyzwania społeczne, kulturowe i prawne</dc:title>
  <dc:creator>dr Karol Kasprowicz · Katedra Prawa Informatycznego i Zawodów Prawniczych · WPiA UMCS</dc:creator>
  <dc:language>pl</dc:language>
  <cp:keywords/>
  <dcterms:created xsi:type="dcterms:W3CDTF">2026-10-24T20:57:36Z</dcterms:created>
  <dcterms:modified xsi:type="dcterms:W3CDTF">2026-10-24T20:57:36Z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Stan na 20.10.2026</vt:lpwstr>
  </property>
  <property fmtid="{D5CDD505-2E9C-101B-9397-08002B2CF9AE}" pid="3" name="subtitle">
    <vt:lpwstr>Sylabus wykładu monograficznego · rok akademicki 2026/2027 · wersja 2</vt:lpwstr>
  </property>
</Properties>
</file>