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B31C3" w14:textId="77777777" w:rsidR="00A84C33" w:rsidRDefault="00000000">
      <w:pPr>
        <w:pStyle w:val="Ttulo"/>
      </w:pPr>
      <w:r>
        <w:t>Manual de Infraestructura</w:t>
      </w:r>
    </w:p>
    <w:p w14:paraId="7DB0E7D8" w14:textId="77777777" w:rsidR="00A84C33" w:rsidRDefault="00000000">
      <w:pPr>
        <w:pStyle w:val="Subttulo"/>
      </w:pPr>
      <w:r>
        <w:t>Configuración de SSO / OIDC (Keycloak) — sri-anexos-estructura-service</w:t>
      </w:r>
    </w:p>
    <w:p w14:paraId="06BB39CA" w14:textId="77777777" w:rsidR="00A84C33" w:rsidRDefault="00000000">
      <w:pPr>
        <w:pStyle w:val="MetaLine"/>
      </w:pPr>
      <w:r>
        <w:t>Cliente Web (frontend) + Cliente Backend (Resource Server) · Realm «Intranet» · Autor: Carlos Anchundia · Última actualización: agosto 2026</w:t>
      </w:r>
    </w:p>
    <w:p w14:paraId="57A4B8A6" w14:textId="77777777" w:rsidR="00A84C33" w:rsidRDefault="00000000">
      <w:pPr>
        <w:pStyle w:val="Ttulo1"/>
      </w:pPr>
      <w:r>
        <w:t>1. Objetivo</w:t>
      </w:r>
    </w:p>
    <w:p w14:paraId="654C8FF8" w14:textId="77777777" w:rsidR="00A84C33" w:rsidRDefault="00000000">
      <w:r>
        <w:t>Este manual describe, paso a paso, cómo configurar la autenticación SSO basada en OpenID Connect (OIDC) entre el cliente web de Gestión de Anexos y el microservicio</w:t>
      </w:r>
      <w:r>
        <w:rPr>
          <w:rStyle w:val="InlineCode"/>
        </w:rPr>
        <w:t>sri-anexos-estructura-service</w:t>
      </w:r>
      <w:r>
        <w:t>, de modo que el backend valide únicamente tokens emitidos específicamente para él (validación del claim de audiencia «aud»), y no cualquier token válido del realm.</w:t>
      </w:r>
    </w:p>
    <w:p w14:paraId="453C0ADD" w14:textId="77777777" w:rsidR="00A84C33" w:rsidRDefault="00000000">
      <w:r>
        <w:t>Aplica a dos configuraciones complementarias: (1) el cliente Keycloak del backend, que actúa como resource server puro (bearer-only), y (2) el cliente Keycloak del frontend, que debe emitir tokens que incluyan la audiencia esperada por el backend.</w:t>
      </w:r>
    </w:p>
    <w:p w14:paraId="2B799E19" w14:textId="77777777" w:rsidR="00A84C33" w:rsidRDefault="00000000">
      <w:pPr>
        <w:pStyle w:val="Ttulo1"/>
      </w:pPr>
      <w:r>
        <w:t>2. Arquitectura general</w:t>
      </w:r>
    </w:p>
    <w:p w14:paraId="73B2E871" w14:textId="77777777" w:rsidR="00A84C33" w:rsidRDefault="00000000">
      <w:r>
        <w:t>Flujo simplificado de autenticación y validación del token:</w:t>
      </w:r>
    </w:p>
    <w:p w14:paraId="318C1C35" w14:textId="77777777" w:rsidR="00A84C33" w:rsidRDefault="00000000">
      <w:pPr>
        <w:pStyle w:val="CodeBlockFirst"/>
      </w:pPr>
      <w:r>
        <w:t>Usuario</w:t>
      </w:r>
    </w:p>
    <w:p w14:paraId="6722D91F" w14:textId="77777777" w:rsidR="00A84C33" w:rsidRDefault="00000000">
      <w:pPr>
        <w:pStyle w:val="CodeBlock"/>
      </w:pPr>
      <w:r>
        <w:t xml:space="preserve">   |  (1) inicia sesion</w:t>
      </w:r>
    </w:p>
    <w:p w14:paraId="3EF0591F" w14:textId="77777777" w:rsidR="00A84C33" w:rsidRDefault="00000000">
      <w:pPr>
        <w:pStyle w:val="CodeBlock"/>
      </w:pPr>
      <w:r>
        <w:t xml:space="preserve">   v</w:t>
      </w:r>
    </w:p>
    <w:p w14:paraId="2597D274" w14:textId="77777777" w:rsidR="00A84C33" w:rsidRDefault="00000000">
      <w:pPr>
        <w:pStyle w:val="CodeBlock"/>
      </w:pPr>
      <w:r>
        <w:t>Cliente Web: app-sri-gestion-anexos-web  --(login OIDC)--&gt;  Keycloak (Realm Intranet)</w:t>
      </w:r>
    </w:p>
    <w:p w14:paraId="4C717DF6" w14:textId="77777777" w:rsidR="00A84C33" w:rsidRDefault="00000000">
      <w:pPr>
        <w:pStyle w:val="CodeBlock"/>
      </w:pPr>
      <w:r>
        <w:t xml:space="preserve">   ^                                                              |</w:t>
      </w:r>
    </w:p>
    <w:p w14:paraId="38FA2DB2" w14:textId="77777777" w:rsidR="00A84C33" w:rsidRDefault="00000000">
      <w:pPr>
        <w:pStyle w:val="CodeBlock"/>
      </w:pPr>
      <w:r>
        <w:t xml:space="preserve">   |            access_token  (aud = app-sri-estructuras-microservicio)</w:t>
      </w:r>
    </w:p>
    <w:p w14:paraId="70B7CBA5" w14:textId="77777777" w:rsidR="00A84C33" w:rsidRDefault="00000000">
      <w:pPr>
        <w:pStyle w:val="CodeBlock"/>
      </w:pPr>
      <w:r>
        <w:t xml:space="preserve">   +--------------------------------------------------------------+</w:t>
      </w:r>
    </w:p>
    <w:p w14:paraId="560C6BCE" w14:textId="77777777" w:rsidR="00A84C33" w:rsidRDefault="00000000">
      <w:pPr>
        <w:pStyle w:val="CodeBlock"/>
      </w:pPr>
      <w:r>
        <w:t xml:space="preserve">   |</w:t>
      </w:r>
    </w:p>
    <w:p w14:paraId="3590A936" w14:textId="77777777" w:rsidR="00A84C33" w:rsidRDefault="00000000">
      <w:pPr>
        <w:pStyle w:val="CodeBlock"/>
      </w:pPr>
      <w:r>
        <w:t xml:space="preserve">   |  (2) Authorization: Bearer &lt;access_token&gt;</w:t>
      </w:r>
    </w:p>
    <w:p w14:paraId="09B83B43" w14:textId="77777777" w:rsidR="00A84C33" w:rsidRDefault="00000000">
      <w:pPr>
        <w:pStyle w:val="CodeBlock"/>
      </w:pPr>
      <w:r>
        <w:t xml:space="preserve">   v</w:t>
      </w:r>
    </w:p>
    <w:p w14:paraId="7BC6271E" w14:textId="77777777" w:rsidR="00A84C33" w:rsidRDefault="00000000">
      <w:pPr>
        <w:pStyle w:val="CodeBlock"/>
      </w:pPr>
      <w:r>
        <w:t>Backend: sri-anexos-estructura-service</w:t>
      </w:r>
    </w:p>
    <w:p w14:paraId="7BD7A96C" w14:textId="77777777" w:rsidR="00A84C33" w:rsidRDefault="00000000">
      <w:pPr>
        <w:pStyle w:val="CodeBlock"/>
      </w:pPr>
      <w:r>
        <w:t xml:space="preserve">   - quarkus.oidc.application-type = service  (resource server puro)</w:t>
      </w:r>
    </w:p>
    <w:p w14:paraId="1B8B9A6F" w14:textId="77777777" w:rsidR="00A84C33" w:rsidRDefault="00000000">
      <w:pPr>
        <w:pStyle w:val="CodeBlock"/>
      </w:pPr>
      <w:r>
        <w:t xml:space="preserve">   - Valida firma (JWKS), expiracion (exp) y claim "aud"</w:t>
      </w:r>
    </w:p>
    <w:p w14:paraId="55B05416" w14:textId="77777777" w:rsidR="00A84C33" w:rsidRDefault="00000000">
      <w:pPr>
        <w:pStyle w:val="CodeBlockLast"/>
      </w:pPr>
      <w:r>
        <w:t xml:space="preserve">   - 401 si el token no es valido o no incluye la audiencia esperada</w:t>
      </w:r>
    </w:p>
    <w:p w14:paraId="6896BFEF" w14:textId="27C9F6CC" w:rsidR="00A84C33" w:rsidRDefault="00000000">
      <w:r>
        <w:t>El claim «aud» se agrega al token mediante un</w:t>
      </w:r>
      <w:r w:rsidR="00A1349A">
        <w:t xml:space="preserve"> </w:t>
      </w:r>
      <w:r>
        <w:rPr>
          <w:b/>
        </w:rPr>
        <w:t>Client Scope</w:t>
      </w:r>
      <w:r w:rsidR="00A1349A">
        <w:rPr>
          <w:b/>
        </w:rPr>
        <w:t xml:space="preserve"> </w:t>
      </w:r>
      <w:r>
        <w:t>con un</w:t>
      </w:r>
      <w:r w:rsidR="00A1349A">
        <w:t xml:space="preserve"> </w:t>
      </w:r>
      <w:r>
        <w:rPr>
          <w:b/>
        </w:rPr>
        <w:t>Audience Mapper</w:t>
      </w:r>
      <w:r>
        <w:t>, asignado como Default Client Scope en el cliente web. Así cada token emitido para el frontend queda explícitamente dirigido al backend.</w:t>
      </w:r>
    </w:p>
    <w:p w14:paraId="7A4E1BE5" w14:textId="77777777" w:rsidR="00A84C33" w:rsidRDefault="00000000">
      <w:pPr>
        <w:pStyle w:val="Ttulo1"/>
      </w:pPr>
      <w:r>
        <w:t>3. Prerrequisitos</w:t>
      </w:r>
    </w:p>
    <w:p w14:paraId="21912BDC" w14:textId="77777777" w:rsidR="00A84C33" w:rsidRDefault="00000000">
      <w:pPr>
        <w:pStyle w:val="ListBulletManual"/>
      </w:pPr>
      <w:r>
        <w:t>• Acceso de administrador a la consola de Keycloak (Realm</w:t>
      </w:r>
      <w:r>
        <w:rPr>
          <w:rStyle w:val="InlineCode"/>
        </w:rPr>
        <w:t>Intranet</w:t>
      </w:r>
      <w:r>
        <w:t>, http://10.12.4.66/auth).</w:t>
      </w:r>
    </w:p>
    <w:p w14:paraId="594C6093" w14:textId="77777777" w:rsidR="00A84C33" w:rsidRDefault="00000000">
      <w:pPr>
        <w:pStyle w:val="ListBulletManual"/>
      </w:pPr>
      <w:r>
        <w:t>• Permisos para crear Clients y Client Scopes en ese realm.</w:t>
      </w:r>
    </w:p>
    <w:p w14:paraId="6221D672" w14:textId="77777777" w:rsidR="00A84C33" w:rsidRDefault="00000000">
      <w:pPr>
        <w:pStyle w:val="ListBulletManual"/>
      </w:pPr>
      <w:r>
        <w:lastRenderedPageBreak/>
        <w:t>• Acceso al repositorio del microservicio backend y al del cliente web, para configurar variables de entorno.</w:t>
      </w:r>
    </w:p>
    <w:p w14:paraId="472CB499" w14:textId="77777777" w:rsidR="00A84C33" w:rsidRDefault="00000000">
      <w:pPr>
        <w:pStyle w:val="ListBulletManual"/>
      </w:pPr>
      <w:r>
        <w:t>• (Opcional) Herramienta de inspección de JWT, por ejemplo jwt.io, o un decodificador local si el token es de un ambiente productivo.</w:t>
      </w:r>
    </w:p>
    <w:p w14:paraId="19191B9D" w14:textId="77777777" w:rsidR="00A84C33" w:rsidRDefault="00000000">
      <w:pPr>
        <w:pStyle w:val="Ttulo1"/>
      </w:pPr>
      <w:r>
        <w:t>4. Glosario rápido</w:t>
      </w:r>
    </w:p>
    <w:tbl>
      <w:tblPr>
        <w:tblW w:w="935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A84C33" w14:paraId="1FB55A14" w14:textId="77777777">
        <w:tc>
          <w:tcPr>
            <w:tcW w:w="2500" w:type="dxa"/>
            <w:shd w:val="clear" w:color="auto" w:fill="1F3864"/>
          </w:tcPr>
          <w:p w14:paraId="73451B31" w14:textId="77777777" w:rsidR="00A84C33" w:rsidRDefault="00000000">
            <w:pPr>
              <w:pStyle w:val="TableHeaderCell"/>
            </w:pPr>
            <w:r>
              <w:t>Término</w:t>
            </w:r>
          </w:p>
        </w:tc>
        <w:tc>
          <w:tcPr>
            <w:tcW w:w="6850" w:type="dxa"/>
            <w:shd w:val="clear" w:color="auto" w:fill="1F3864"/>
          </w:tcPr>
          <w:p w14:paraId="3D3119BE" w14:textId="77777777" w:rsidR="00A84C33" w:rsidRDefault="00000000">
            <w:pPr>
              <w:pStyle w:val="TableHeaderCell"/>
            </w:pPr>
            <w:r>
              <w:t>Definición</w:t>
            </w:r>
          </w:p>
        </w:tc>
      </w:tr>
      <w:tr w:rsidR="00A84C33" w14:paraId="462A459C" w14:textId="77777777">
        <w:tc>
          <w:tcPr>
            <w:tcW w:w="2500" w:type="dxa"/>
          </w:tcPr>
          <w:p w14:paraId="0B4D72C2" w14:textId="77777777" w:rsidR="00A84C33" w:rsidRDefault="00000000">
            <w:pPr>
              <w:pStyle w:val="TableCell"/>
            </w:pPr>
            <w:r>
              <w:t>Resource server (bearer-only)</w:t>
            </w:r>
          </w:p>
        </w:tc>
        <w:tc>
          <w:tcPr>
            <w:tcW w:w="6850" w:type="dxa"/>
          </w:tcPr>
          <w:p w14:paraId="35382683" w14:textId="77777777" w:rsidR="00A84C33" w:rsidRDefault="00000000">
            <w:pPr>
              <w:pStyle w:val="TableCell"/>
            </w:pPr>
            <w:r>
              <w:t>Cliente Keycloak que solo valida tokens entrantes; nunca inicia un login ni redirige al usuario.</w:t>
            </w:r>
          </w:p>
        </w:tc>
      </w:tr>
      <w:tr w:rsidR="00A84C33" w14:paraId="43D4A068" w14:textId="77777777">
        <w:tc>
          <w:tcPr>
            <w:tcW w:w="2500" w:type="dxa"/>
          </w:tcPr>
          <w:p w14:paraId="5EBD393A" w14:textId="77777777" w:rsidR="00A84C33" w:rsidRDefault="00000000">
            <w:pPr>
              <w:pStyle w:val="TableCell"/>
            </w:pPr>
            <w:r>
              <w:t>Client Scope</w:t>
            </w:r>
          </w:p>
        </w:tc>
        <w:tc>
          <w:tcPr>
            <w:tcW w:w="6850" w:type="dxa"/>
          </w:tcPr>
          <w:p w14:paraId="1C4951D2" w14:textId="77777777" w:rsidR="00A84C33" w:rsidRDefault="00000000">
            <w:pPr>
              <w:pStyle w:val="TableCell"/>
            </w:pPr>
            <w:r>
              <w:t>Conjunto de mappers/claims reutilizable que puede asignarse a uno o varios clientes.</w:t>
            </w:r>
          </w:p>
        </w:tc>
      </w:tr>
      <w:tr w:rsidR="00A84C33" w14:paraId="2AA14C1D" w14:textId="77777777">
        <w:tc>
          <w:tcPr>
            <w:tcW w:w="2500" w:type="dxa"/>
          </w:tcPr>
          <w:p w14:paraId="4F1A9BAF" w14:textId="77777777" w:rsidR="00A84C33" w:rsidRDefault="00000000">
            <w:pPr>
              <w:pStyle w:val="TableCell"/>
            </w:pPr>
            <w:r>
              <w:t>Audience (aud)</w:t>
            </w:r>
          </w:p>
        </w:tc>
        <w:tc>
          <w:tcPr>
            <w:tcW w:w="6850" w:type="dxa"/>
          </w:tcPr>
          <w:p w14:paraId="4AD3639D" w14:textId="77777777" w:rsidR="00A84C33" w:rsidRDefault="00000000">
            <w:pPr>
              <w:pStyle w:val="TableCell"/>
            </w:pPr>
            <w:r>
              <w:t>Claim del token que indica para qué cliente(s) o API fue emitido.</w:t>
            </w:r>
          </w:p>
        </w:tc>
      </w:tr>
      <w:tr w:rsidR="00A84C33" w14:paraId="1FCDC325" w14:textId="77777777">
        <w:tc>
          <w:tcPr>
            <w:tcW w:w="2500" w:type="dxa"/>
          </w:tcPr>
          <w:p w14:paraId="08F1B25B" w14:textId="77777777" w:rsidR="00A84C33" w:rsidRDefault="00000000">
            <w:pPr>
              <w:pStyle w:val="TableCell"/>
            </w:pPr>
            <w:r>
              <w:t>Default Client Scope</w:t>
            </w:r>
          </w:p>
        </w:tc>
        <w:tc>
          <w:tcPr>
            <w:tcW w:w="6850" w:type="dxa"/>
          </w:tcPr>
          <w:p w14:paraId="3B53FAEA" w14:textId="77777777" w:rsidR="00A84C33" w:rsidRDefault="00000000">
            <w:pPr>
              <w:pStyle w:val="TableCell"/>
            </w:pPr>
            <w:r>
              <w:t>Scope incluido automáticamente en cada token emitido para ese cliente, sin que la app deba solicitarlo explícitamente.</w:t>
            </w:r>
          </w:p>
        </w:tc>
      </w:tr>
    </w:tbl>
    <w:p w14:paraId="33C417A4" w14:textId="77777777" w:rsidR="00A84C33" w:rsidRDefault="00A84C33"/>
    <w:p w14:paraId="04CBC713" w14:textId="77777777" w:rsidR="00A84C33" w:rsidRDefault="00000000">
      <w:pPr>
        <w:pStyle w:val="Ttulo1"/>
      </w:pPr>
      <w:r>
        <w:t>5. Paso 1 — Crear el cliente del backend en Keycloak (resource server)</w:t>
      </w:r>
    </w:p>
    <w:p w14:paraId="18A0C4E0" w14:textId="5DA51891" w:rsidR="00A84C33" w:rsidRDefault="00000000">
      <w:pPr>
        <w:pStyle w:val="ListNumberManual"/>
      </w:pPr>
      <w:r>
        <w:t>1. Ingresar a la consola de administración de Keycloak y seleccionar el realm</w:t>
      </w:r>
      <w:r w:rsidR="00B23815">
        <w:t xml:space="preserve"> </w:t>
      </w:r>
      <w:r>
        <w:rPr>
          <w:rStyle w:val="InlineCode"/>
        </w:rPr>
        <w:t>Intranet</w:t>
      </w:r>
      <w:r>
        <w:t>.</w:t>
      </w:r>
    </w:p>
    <w:p w14:paraId="6AAD75DA" w14:textId="60E1906D" w:rsidR="00A84C33" w:rsidRDefault="00000000">
      <w:pPr>
        <w:pStyle w:val="ListNumberManual"/>
      </w:pPr>
      <w:r>
        <w:t>2. Ir a</w:t>
      </w:r>
      <w:r w:rsidR="00B23815">
        <w:t xml:space="preserve"> </w:t>
      </w:r>
      <w:r>
        <w:rPr>
          <w:b/>
        </w:rPr>
        <w:t>Clients → Create client</w:t>
      </w:r>
      <w:r>
        <w:t>.</w:t>
      </w:r>
    </w:p>
    <w:p w14:paraId="1B8F1A0B" w14:textId="486E8CA0" w:rsidR="00A84C33" w:rsidRDefault="00000000">
      <w:pPr>
        <w:pStyle w:val="ListNumberManual"/>
      </w:pPr>
      <w:r>
        <w:t>3. En</w:t>
      </w:r>
      <w:r w:rsidR="00B23815">
        <w:t xml:space="preserve"> </w:t>
      </w:r>
      <w:r>
        <w:rPr>
          <w:b/>
        </w:rPr>
        <w:t>General settings</w:t>
      </w:r>
      <w:r>
        <w:t>: Client type = OpenID Connect; Client ID =</w:t>
      </w:r>
      <w:r>
        <w:rPr>
          <w:rStyle w:val="InlineCode"/>
        </w:rPr>
        <w:t>app-sri-estructuras-microservicio</w:t>
      </w:r>
    </w:p>
    <w:p w14:paraId="5BE6D669" w14:textId="5415A699" w:rsidR="00A84C33" w:rsidRDefault="00000000">
      <w:pPr>
        <w:pStyle w:val="ListNumberManual"/>
      </w:pPr>
      <w:r>
        <w:t>4. En</w:t>
      </w:r>
      <w:r w:rsidR="00B23815">
        <w:t xml:space="preserve"> </w:t>
      </w:r>
      <w:r>
        <w:rPr>
          <w:b/>
        </w:rPr>
        <w:t>Capability config</w:t>
      </w:r>
      <w:r>
        <w:t>: activar Client authentication (cliente confidencial); Authorization = OFF; desactivar Standard flow y Direct access grants, ya que este cliente nunca inicia un login, solo valida tokens</w:t>
      </w:r>
    </w:p>
    <w:p w14:paraId="41BC5FBF" w14:textId="15F35234" w:rsidR="00A84C33" w:rsidRDefault="00000000">
      <w:pPr>
        <w:pStyle w:val="ListNumberManual"/>
      </w:pPr>
      <w:r>
        <w:t>5. En</w:t>
      </w:r>
      <w:r w:rsidR="00B23815">
        <w:t xml:space="preserve"> </w:t>
      </w:r>
      <w:r>
        <w:rPr>
          <w:b/>
        </w:rPr>
        <w:t>Login settings</w:t>
      </w:r>
      <w:r w:rsidR="00B23815">
        <w:rPr>
          <w:b/>
        </w:rPr>
        <w:t xml:space="preserve"> </w:t>
      </w:r>
      <w:r>
        <w:t>dejar los campos en blanco (no aplica, no redirige) → Save.</w:t>
      </w:r>
    </w:p>
    <w:p w14:paraId="72B207E9" w14:textId="351D36B6" w:rsidR="00A84C33" w:rsidRDefault="00000000">
      <w:pPr>
        <w:pStyle w:val="ListNumberManual"/>
      </w:pPr>
      <w:r>
        <w:t>6. Abrir la pestaña</w:t>
      </w:r>
      <w:r w:rsidR="00B23815">
        <w:t xml:space="preserve"> </w:t>
      </w:r>
      <w:r>
        <w:rPr>
          <w:b/>
        </w:rPr>
        <w:t>Credentials</w:t>
      </w:r>
      <w:r>
        <w:t>y copiar el Client secret generado; este valor se usará como</w:t>
      </w:r>
      <w:r w:rsidR="00B23815">
        <w:t xml:space="preserve"> </w:t>
      </w:r>
      <w:r>
        <w:rPr>
          <w:rStyle w:val="InlineCode"/>
        </w:rPr>
        <w:t>SSO_ESTRUCTURAS_CLIENT_SECRET</w:t>
      </w:r>
      <w:r w:rsidR="00B23815">
        <w:rPr>
          <w:rStyle w:val="InlineCode"/>
        </w:rPr>
        <w:t xml:space="preserve"> </w:t>
      </w:r>
      <w:r>
        <w:t>en el backend.</w:t>
      </w:r>
    </w:p>
    <w:p w14:paraId="266F50B8" w14:textId="17785B1E" w:rsidR="00B23815" w:rsidRDefault="00B23815">
      <w:pPr>
        <w:pStyle w:val="Ttulo1"/>
      </w:pPr>
      <w:r w:rsidRPr="00B23815">
        <w:rPr>
          <w:noProof/>
        </w:rPr>
        <w:lastRenderedPageBreak/>
        <w:drawing>
          <wp:inline distT="0" distB="0" distL="0" distR="0" wp14:anchorId="7F4C512E" wp14:editId="5A6A5919">
            <wp:extent cx="5245100" cy="2213477"/>
            <wp:effectExtent l="0" t="0" r="0" b="0"/>
            <wp:docPr id="648876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760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4035" cy="221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EF81" w14:textId="4412F5DF" w:rsidR="00A84C33" w:rsidRDefault="00000000">
      <w:pPr>
        <w:pStyle w:val="Ttulo1"/>
      </w:pPr>
      <w:r>
        <w:t>6. Paso 2 — Crear el Client Scope de audiencia (aud-estructuras)</w:t>
      </w:r>
    </w:p>
    <w:p w14:paraId="3F09181B" w14:textId="77777777" w:rsidR="00A84C33" w:rsidRDefault="00000000">
      <w:pPr>
        <w:pStyle w:val="ListNumberManual"/>
      </w:pPr>
      <w:r>
        <w:t>1. Ir a</w:t>
      </w:r>
      <w:r>
        <w:rPr>
          <w:b/>
        </w:rPr>
        <w:t>Client Scopes → Create client scope</w:t>
      </w:r>
      <w:r>
        <w:t>.</w:t>
      </w:r>
    </w:p>
    <w:p w14:paraId="5AEEA165" w14:textId="386F8819" w:rsidR="00A84C33" w:rsidRDefault="00000000">
      <w:pPr>
        <w:pStyle w:val="ListNumberManual"/>
      </w:pPr>
      <w:r>
        <w:t>2. Name:</w:t>
      </w:r>
      <w:r w:rsidR="00B23815">
        <w:t xml:space="preserve"> </w:t>
      </w:r>
      <w:r>
        <w:rPr>
          <w:rStyle w:val="InlineCode"/>
        </w:rPr>
        <w:t>aud-estructuras</w:t>
      </w:r>
      <w:r>
        <w:t>; Type: Default; Protocol: openid-connect; Include in token scope: ON → Save.</w:t>
      </w:r>
    </w:p>
    <w:p w14:paraId="0FB27483" w14:textId="744C914F" w:rsidR="00A84C33" w:rsidRDefault="00000000">
      <w:pPr>
        <w:pStyle w:val="ListNumberManual"/>
      </w:pPr>
      <w:r>
        <w:t>3. Abrir el scope recién creado → pestaña</w:t>
      </w:r>
      <w:r w:rsidR="00B23815">
        <w:t xml:space="preserve"> </w:t>
      </w:r>
      <w:r>
        <w:rPr>
          <w:b/>
        </w:rPr>
        <w:t>Mappers → Add mapper → By configuration → Audience</w:t>
      </w:r>
      <w:r>
        <w:t>.</w:t>
      </w:r>
    </w:p>
    <w:p w14:paraId="64B9A9FB" w14:textId="6E9564E5" w:rsidR="00A84C33" w:rsidRDefault="00000000" w:rsidP="00B23815">
      <w:pPr>
        <w:pStyle w:val="ListNumberManual"/>
      </w:pPr>
      <w:r>
        <w:t>4. Configurar el mapper: Name =</w:t>
      </w:r>
      <w:r>
        <w:rPr>
          <w:rStyle w:val="InlineCode"/>
        </w:rPr>
        <w:t>aud-estructuras-mapper</w:t>
      </w:r>
      <w:r>
        <w:t>; Included Client Audience =</w:t>
      </w:r>
      <w:r>
        <w:rPr>
          <w:rStyle w:val="InlineCode"/>
        </w:rPr>
        <w:t>app-sri-estructuras-microservicio</w:t>
      </w:r>
      <w:r w:rsidR="00B23815">
        <w:rPr>
          <w:rStyle w:val="InlineCode"/>
        </w:rPr>
        <w:t xml:space="preserve"> </w:t>
      </w:r>
      <w:r>
        <w:t>(el cliente backend creado en el paso 1); Add to access token = ON.</w:t>
      </w:r>
    </w:p>
    <w:p w14:paraId="41BADDAC" w14:textId="77777777" w:rsidR="00A84C33" w:rsidRDefault="00000000">
      <w:pPr>
        <w:pStyle w:val="Note"/>
      </w:pPr>
      <w:r>
        <w:t>Nota: este client scope puede reutilizarse para cualquier otro cliente (web o backend) que necesite emitir o aceptar tokens dirigidos a este mismo microservicio.</w:t>
      </w:r>
    </w:p>
    <w:p w14:paraId="38D6E102" w14:textId="77777777" w:rsidR="00A84C33" w:rsidRDefault="00000000">
      <w:pPr>
        <w:pStyle w:val="Ttulo1"/>
      </w:pPr>
      <w:r>
        <w:t>7. Paso 3 — Configurar el cliente Web y asignarle el scope</w:t>
      </w:r>
    </w:p>
    <w:p w14:paraId="143C6CC1" w14:textId="5F6F90BE" w:rsidR="00A47AE6" w:rsidRDefault="00000000">
      <w:pPr>
        <w:pStyle w:val="ListNumberManual"/>
      </w:pPr>
      <w:r>
        <w:t xml:space="preserve">1. </w:t>
      </w:r>
      <w:r w:rsidR="00A47AE6">
        <w:t>ir a</w:t>
      </w:r>
      <w:r w:rsidR="00CC2274">
        <w:t>l menú</w:t>
      </w:r>
      <w:r w:rsidR="00A47AE6">
        <w:t xml:space="preserve"> </w:t>
      </w:r>
      <w:r w:rsidR="00A47AE6" w:rsidRPr="000A62E0">
        <w:rPr>
          <w:b/>
          <w:bCs/>
        </w:rPr>
        <w:t>Realm</w:t>
      </w:r>
      <w:r w:rsidR="00A47AE6">
        <w:t xml:space="preserve"> </w:t>
      </w:r>
      <w:r w:rsidR="000A62E0">
        <w:rPr>
          <w:b/>
        </w:rPr>
        <w:t>→</w:t>
      </w:r>
      <w:r w:rsidR="00A47AE6">
        <w:t xml:space="preserve"> </w:t>
      </w:r>
      <w:r w:rsidR="00E47214">
        <w:t>ingresa el reino</w:t>
      </w:r>
      <w:r w:rsidR="00A47AE6">
        <w:t xml:space="preserve"> “Intranet”</w:t>
      </w:r>
      <w:r w:rsidR="00A47AE6" w:rsidRPr="00A47AE6">
        <w:t xml:space="preserve"> </w:t>
      </w:r>
      <w:r w:rsidR="00A47AE6">
        <w:t>(crear el reino si aún no existe</w:t>
      </w:r>
      <w:r w:rsidR="00E47214">
        <w:t xml:space="preserve"> y luego ingresa a este reino</w:t>
      </w:r>
      <w:r w:rsidR="00A47AE6">
        <w:t>)</w:t>
      </w:r>
    </w:p>
    <w:p w14:paraId="2682D52E" w14:textId="6105FC63" w:rsidR="00A84C33" w:rsidRDefault="00A47AE6">
      <w:pPr>
        <w:pStyle w:val="ListNumberManual"/>
      </w:pPr>
      <w:r>
        <w:t>2. Ir a</w:t>
      </w:r>
      <w:r w:rsidR="00CC2274">
        <w:t>l menú</w:t>
      </w:r>
      <w:r w:rsidR="00A1349A">
        <w:t xml:space="preserve"> </w:t>
      </w:r>
      <w:r>
        <w:rPr>
          <w:b/>
        </w:rPr>
        <w:t xml:space="preserve">Clients </w:t>
      </w:r>
      <w:bookmarkStart w:id="0" w:name="OLE_LINK2"/>
      <w:r>
        <w:rPr>
          <w:b/>
        </w:rPr>
        <w:t>→</w:t>
      </w:r>
      <w:bookmarkEnd w:id="0"/>
      <w:r w:rsidR="00A1349A">
        <w:rPr>
          <w:b/>
        </w:rPr>
        <w:t xml:space="preserve"> </w:t>
      </w:r>
      <w:r w:rsidR="00A1349A" w:rsidRPr="00A1349A">
        <w:rPr>
          <w:bCs/>
        </w:rPr>
        <w:t>crea el cliente</w:t>
      </w:r>
      <w:r w:rsidR="008005D3">
        <w:rPr>
          <w:bCs/>
        </w:rPr>
        <w:t xml:space="preserve"> </w:t>
      </w:r>
      <w:r w:rsidR="008005D3" w:rsidRPr="008005D3">
        <w:rPr>
          <w:b/>
          <w:bCs/>
        </w:rPr>
        <w:t>Client ID </w:t>
      </w:r>
      <w:r w:rsidR="008005D3">
        <w:rPr>
          <w:b/>
          <w:bCs/>
        </w:rPr>
        <w:t xml:space="preserve">= </w:t>
      </w:r>
      <w:r w:rsidRPr="008005D3">
        <w:rPr>
          <w:bCs/>
        </w:rPr>
        <w:t>app-sri-gestion-anexos-web</w:t>
      </w:r>
      <w:bookmarkStart w:id="1" w:name="OLE_LINK1"/>
      <w:r w:rsidR="008005D3">
        <w:rPr>
          <w:b/>
        </w:rPr>
        <w:t xml:space="preserve"> </w:t>
      </w:r>
      <w:r>
        <w:t>(crear el cliente si aún no existe</w:t>
      </w:r>
      <w:r w:rsidR="00E47214">
        <w:t xml:space="preserve"> con las siguientes configuraciones</w:t>
      </w:r>
      <w:r>
        <w:t xml:space="preserve">: </w:t>
      </w:r>
      <w:bookmarkEnd w:id="1"/>
      <w:r>
        <w:t xml:space="preserve">Client authentication según corresponda </w:t>
      </w:r>
      <w:r w:rsidR="00E47214">
        <w:t>con</w:t>
      </w:r>
      <w:r w:rsidR="00A1349A">
        <w:t xml:space="preserve"> </w:t>
      </w:r>
      <w:r>
        <w:t>público para SPA</w:t>
      </w:r>
      <w:r w:rsidR="00A1349A">
        <w:t xml:space="preserve"> </w:t>
      </w:r>
      <w:r w:rsidR="00A1349A" w:rsidRPr="00A1349A">
        <w:rPr>
          <w:b/>
          <w:bCs/>
        </w:rPr>
        <w:t>Access Type </w:t>
      </w:r>
      <w:r w:rsidR="00E47214">
        <w:rPr>
          <w:b/>
          <w:bCs/>
        </w:rPr>
        <w:t xml:space="preserve">= </w:t>
      </w:r>
      <w:r w:rsidR="00A1349A" w:rsidRPr="00E47214">
        <w:t>public</w:t>
      </w:r>
      <w:r>
        <w:t xml:space="preserve">, confidencial si aplica—, </w:t>
      </w:r>
      <w:r w:rsidRPr="00E47214">
        <w:rPr>
          <w:b/>
          <w:bCs/>
        </w:rPr>
        <w:t>Standard flow</w:t>
      </w:r>
      <w:r>
        <w:t xml:space="preserve"> = ON, y configurar Valid redirect URIs y Web origins según el ambiente).</w:t>
      </w:r>
    </w:p>
    <w:p w14:paraId="6ACC8D51" w14:textId="77777777" w:rsidR="00A1349A" w:rsidRDefault="00A1349A">
      <w:pPr>
        <w:pStyle w:val="ListNumberManual"/>
      </w:pPr>
    </w:p>
    <w:p w14:paraId="3FD6221D" w14:textId="006B7A2B" w:rsidR="00A1349A" w:rsidRDefault="00A1349A">
      <w:pPr>
        <w:pStyle w:val="ListNumberManual"/>
      </w:pPr>
      <w:r w:rsidRPr="00A1349A">
        <w:rPr>
          <w:noProof/>
        </w:rPr>
        <w:lastRenderedPageBreak/>
        <w:drawing>
          <wp:inline distT="0" distB="0" distL="0" distR="0" wp14:anchorId="363A6B1C" wp14:editId="1F86C416">
            <wp:extent cx="5848350" cy="4548718"/>
            <wp:effectExtent l="0" t="0" r="0" b="0"/>
            <wp:docPr id="1721575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75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3455" cy="455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B6AC" w14:textId="764A6929" w:rsidR="00CC2274" w:rsidRPr="00CC2274" w:rsidRDefault="00CC2274" w:rsidP="00CC2274">
      <w:pPr>
        <w:rPr>
          <w:bCs/>
        </w:rPr>
      </w:pPr>
      <w:r>
        <w:t xml:space="preserve">3. ir al menú </w:t>
      </w:r>
      <w:bookmarkStart w:id="2" w:name="OLE_LINK3"/>
      <w:r w:rsidRPr="00CC2274">
        <w:rPr>
          <w:b/>
          <w:bCs/>
          <w:lang w:val="es-ES"/>
        </w:rPr>
        <w:t>Client Scopes</w:t>
      </w:r>
      <w:r w:rsidRPr="00CC2274">
        <w:rPr>
          <w:lang w:val="es-ES"/>
        </w:rPr>
        <w:t> </w:t>
      </w:r>
      <w:bookmarkEnd w:id="2"/>
      <w:r>
        <w:rPr>
          <w:b/>
        </w:rPr>
        <w:t xml:space="preserve">→ </w:t>
      </w:r>
      <w:r>
        <w:rPr>
          <w:bCs/>
        </w:rPr>
        <w:t xml:space="preserve">crear un ámbito del cliente con </w:t>
      </w:r>
      <w:bookmarkStart w:id="3" w:name="OLE_LINK4"/>
      <w:r w:rsidRPr="00CC2274">
        <w:rPr>
          <w:bCs/>
        </w:rPr>
        <w:t>aud-microservicios</w:t>
      </w:r>
      <w:bookmarkEnd w:id="3"/>
    </w:p>
    <w:p w14:paraId="55C481C5" w14:textId="1E5C478A" w:rsidR="00CC2274" w:rsidRDefault="00CC2274" w:rsidP="00CC2274">
      <w:pPr>
        <w:pStyle w:val="ListNumberManual"/>
        <w:rPr>
          <w:lang w:val="es-ES"/>
        </w:rPr>
      </w:pPr>
      <w:r w:rsidRPr="00CC2274">
        <w:rPr>
          <w:noProof/>
          <w:lang w:val="es-ES"/>
        </w:rPr>
        <w:drawing>
          <wp:inline distT="0" distB="0" distL="0" distR="0" wp14:anchorId="5531354D" wp14:editId="150322A7">
            <wp:extent cx="5943600" cy="1714500"/>
            <wp:effectExtent l="0" t="0" r="0" b="0"/>
            <wp:docPr id="1444901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01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3AD8" w14:textId="7E4A9268" w:rsidR="00CC2274" w:rsidRDefault="00CC2274" w:rsidP="00CC2274">
      <w:pPr>
        <w:pStyle w:val="ListNumberManual"/>
        <w:rPr>
          <w:lang w:val="es-ES"/>
        </w:rPr>
      </w:pPr>
      <w:r>
        <w:rPr>
          <w:lang w:val="es-ES"/>
        </w:rPr>
        <w:t>4. Abrir el ámbito del cliente</w:t>
      </w:r>
      <w:r w:rsidR="008B1F6F">
        <w:rPr>
          <w:lang w:val="es-ES"/>
        </w:rPr>
        <w:t xml:space="preserve"> </w:t>
      </w:r>
      <w:r>
        <w:rPr>
          <w:lang w:val="es-ES"/>
        </w:rPr>
        <w:t>(</w:t>
      </w:r>
      <w:r w:rsidRPr="00CC2274">
        <w:rPr>
          <w:b/>
          <w:bCs/>
          <w:lang w:val="es-ES"/>
        </w:rPr>
        <w:t>Client Scopes</w:t>
      </w:r>
      <w:r>
        <w:rPr>
          <w:lang w:val="es-ES"/>
        </w:rPr>
        <w:t xml:space="preserve">) </w:t>
      </w:r>
      <w:r w:rsidRPr="00CC2274">
        <w:rPr>
          <w:bCs/>
        </w:rPr>
        <w:t>aud-microservicios</w:t>
      </w:r>
      <w:r>
        <w:rPr>
          <w:bCs/>
        </w:rPr>
        <w:t xml:space="preserve"> </w:t>
      </w:r>
      <w:r>
        <w:t xml:space="preserve">→ pestaña </w:t>
      </w:r>
      <w:r>
        <w:rPr>
          <w:b/>
        </w:rPr>
        <w:t xml:space="preserve">Mappers </w:t>
      </w:r>
      <w:r w:rsidRPr="00CC2274">
        <w:rPr>
          <w:bCs/>
        </w:rPr>
        <w:t xml:space="preserve">y crear el mapeador con nombre </w:t>
      </w:r>
      <w:r w:rsidRPr="00CC2274">
        <w:rPr>
          <w:b/>
        </w:rPr>
        <w:t>aud-estructuras-mapper</w:t>
      </w:r>
    </w:p>
    <w:p w14:paraId="0D051255" w14:textId="60CDE014" w:rsidR="00CC2274" w:rsidRPr="00CC2274" w:rsidRDefault="00CC2274" w:rsidP="00CC2274">
      <w:pPr>
        <w:pStyle w:val="ListNumberManual"/>
        <w:rPr>
          <w:lang w:val="es-ES"/>
        </w:rPr>
      </w:pPr>
      <w:r w:rsidRPr="00CC2274">
        <w:rPr>
          <w:noProof/>
          <w:lang w:val="es-ES"/>
        </w:rPr>
        <w:drawing>
          <wp:inline distT="0" distB="0" distL="0" distR="0" wp14:anchorId="551A4518" wp14:editId="6913F4CC">
            <wp:extent cx="5943600" cy="829310"/>
            <wp:effectExtent l="0" t="0" r="0" b="0"/>
            <wp:docPr id="887653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53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E8B9" w14:textId="6EB3374F" w:rsidR="00CC2274" w:rsidRDefault="00CC2274">
      <w:pPr>
        <w:pStyle w:val="ListNumberManual"/>
      </w:pPr>
    </w:p>
    <w:p w14:paraId="04391C2F" w14:textId="34551558" w:rsidR="00A84C33" w:rsidRDefault="00CC2274">
      <w:pPr>
        <w:pStyle w:val="ListNumberManual"/>
      </w:pPr>
      <w:r>
        <w:t xml:space="preserve">4. Abrir el cliente </w:t>
      </w:r>
      <w:bookmarkStart w:id="4" w:name="OLE_LINK5"/>
      <w:r>
        <w:t>→ pestaña</w:t>
      </w:r>
      <w:r w:rsidR="00A1349A">
        <w:t xml:space="preserve"> </w:t>
      </w:r>
      <w:r>
        <w:rPr>
          <w:b/>
        </w:rPr>
        <w:t>Client scopes</w:t>
      </w:r>
      <w:bookmarkEnd w:id="4"/>
      <w:r>
        <w:t>.</w:t>
      </w:r>
    </w:p>
    <w:p w14:paraId="1DFADBB7" w14:textId="09931EA2" w:rsidR="00A84C33" w:rsidRDefault="00CC2274">
      <w:pPr>
        <w:pStyle w:val="ListNumberManual"/>
      </w:pPr>
      <w:r>
        <w:t>5.</w:t>
      </w:r>
      <w:r w:rsidRPr="00CC2274">
        <w:rPr>
          <w:bCs/>
        </w:rPr>
        <w:t xml:space="preserve">Add client scope </w:t>
      </w:r>
      <w:r>
        <w:t>→ seleccionar</w:t>
      </w:r>
      <w:r w:rsidR="00A1349A">
        <w:t xml:space="preserve"> </w:t>
      </w:r>
      <w:r>
        <w:rPr>
          <w:rStyle w:val="InlineCode"/>
        </w:rPr>
        <w:t>aud-</w:t>
      </w:r>
      <w:r w:rsidR="008B1F6F">
        <w:rPr>
          <w:rStyle w:val="InlineCode"/>
        </w:rPr>
        <w:t>microservicios</w:t>
      </w:r>
      <w:r>
        <w:t xml:space="preserve">→ Add → </w:t>
      </w:r>
      <w:r w:rsidR="008B1F6F" w:rsidRPr="008B1F6F">
        <w:t>Assigned Default Client Scopes</w:t>
      </w:r>
      <w:r>
        <w:t>.</w:t>
      </w:r>
    </w:p>
    <w:p w14:paraId="14BDE83C" w14:textId="3798DC5C" w:rsidR="00A84C33" w:rsidRDefault="00000000">
      <w:r>
        <w:t>A partir de este punto, todo token emitido por Keycloak para</w:t>
      </w:r>
      <w:r w:rsidR="008B1F6F">
        <w:t xml:space="preserve"> </w:t>
      </w:r>
      <w:r>
        <w:rPr>
          <w:rStyle w:val="InlineCode"/>
        </w:rPr>
        <w:t>app-sri-gestion-anexos-web</w:t>
      </w:r>
      <w:r w:rsidR="008B1F6F">
        <w:rPr>
          <w:rStyle w:val="InlineCode"/>
        </w:rPr>
        <w:t xml:space="preserve"> </w:t>
      </w:r>
      <w:r>
        <w:t>incluirá automáticamente el claim</w:t>
      </w:r>
      <w:r w:rsidR="008B1F6F">
        <w:t xml:space="preserve"> </w:t>
      </w:r>
      <w:r>
        <w:rPr>
          <w:rStyle w:val="InlineCode"/>
        </w:rPr>
        <w:t>aud = app-sri-estructuras-microservicio</w:t>
      </w:r>
      <w:r>
        <w:t>.</w:t>
      </w:r>
    </w:p>
    <w:p w14:paraId="5482F035" w14:textId="77777777" w:rsidR="00A84C33" w:rsidRDefault="00000000">
      <w:pPr>
        <w:pStyle w:val="Ttulo1"/>
      </w:pPr>
      <w:r>
        <w:t>8. Verificación del token</w:t>
      </w:r>
    </w:p>
    <w:p w14:paraId="3E45F3C0" w14:textId="77777777" w:rsidR="00A84C33" w:rsidRDefault="00000000">
      <w:pPr>
        <w:pStyle w:val="ListNumberManual"/>
      </w:pPr>
      <w:r>
        <w:t>1. Iniciar sesión en el cliente web y capturar el access_token (DevTools → Network, o el almacén que use el frontend).</w:t>
      </w:r>
    </w:p>
    <w:p w14:paraId="1CA4E611" w14:textId="77777777" w:rsidR="00A84C33" w:rsidRDefault="00000000">
      <w:pPr>
        <w:pStyle w:val="ListNumberManual"/>
      </w:pPr>
      <w:r>
        <w:t>2. Decodificarlo (por ejemplo en jwt.io, o con un decodificador local si la política de seguridad no permite pegar tokens de producción en sitios externos).</w:t>
      </w:r>
    </w:p>
    <w:p w14:paraId="7D1AE16E" w14:textId="0088F60E" w:rsidR="00A84C33" w:rsidRDefault="00000000">
      <w:pPr>
        <w:pStyle w:val="ListNumberManual"/>
      </w:pPr>
      <w:r>
        <w:t>3. Confirmar en el payload:</w:t>
      </w:r>
      <w:r>
        <w:rPr>
          <w:rStyle w:val="InlineCode"/>
        </w:rPr>
        <w:t>"aud": "app-sri-estructuras-microservicio"</w:t>
      </w:r>
      <w:r>
        <w:t>(o un arreglo que lo incluya), y que</w:t>
      </w:r>
      <w:r w:rsidR="008B1F6F">
        <w:t xml:space="preserve"> </w:t>
      </w:r>
      <w:r>
        <w:rPr>
          <w:rStyle w:val="InlineCode"/>
        </w:rPr>
        <w:t>"scope"</w:t>
      </w:r>
      <w:r>
        <w:t>contenga</w:t>
      </w:r>
      <w:r w:rsidR="008B1F6F">
        <w:t xml:space="preserve"> </w:t>
      </w:r>
      <w:r>
        <w:rPr>
          <w:rStyle w:val="InlineCode"/>
        </w:rPr>
        <w:t>aud-</w:t>
      </w:r>
      <w:r w:rsidR="008B1F6F">
        <w:rPr>
          <w:rStyle w:val="InlineCode"/>
        </w:rPr>
        <w:t>microservicios</w:t>
      </w:r>
      <w:r>
        <w:t>.</w:t>
      </w:r>
    </w:p>
    <w:p w14:paraId="0B472F34" w14:textId="77777777" w:rsidR="00A84C33" w:rsidRDefault="00000000">
      <w:pPr>
        <w:pStyle w:val="Caution"/>
      </w:pPr>
      <w:r>
        <w:t>Importante: no pegar tokens de ambientes productivos en herramientas externas en línea; usarlas únicamente con tokens de dev/test o recurrir a un decodificador offline.</w:t>
      </w:r>
    </w:p>
    <w:p w14:paraId="44EA8348" w14:textId="77777777" w:rsidR="00A84C33" w:rsidRDefault="00000000">
      <w:pPr>
        <w:pStyle w:val="Ttulo1"/>
      </w:pPr>
      <w:r>
        <w:t>9. Configuración del microservicio backend (Quarkus)</w:t>
      </w:r>
    </w:p>
    <w:p w14:paraId="46F121CC" w14:textId="1BBA6971" w:rsidR="00703443" w:rsidRDefault="00703443">
      <w:r w:rsidRPr="00703443">
        <w:t xml:space="preserve">En el </w:t>
      </w:r>
      <w:r>
        <w:t>a</w:t>
      </w:r>
      <w:r w:rsidRPr="00703443">
        <w:t>rchivo: src/main/resources/application.properties agregar las siguientes líneas de configuración:</w:t>
      </w:r>
    </w:p>
    <w:p w14:paraId="6EBF523B" w14:textId="77777777" w:rsidR="00A84C33" w:rsidRDefault="00000000">
      <w:pPr>
        <w:pStyle w:val="CodeBlockFirst"/>
      </w:pPr>
      <w:r>
        <w:t># Resource server puro: nunca redirige a login, solo valida tokens bearer entrantes</w:t>
      </w:r>
    </w:p>
    <w:p w14:paraId="3CC29C64" w14:textId="77777777" w:rsidR="00A84C33" w:rsidRDefault="00000000">
      <w:pPr>
        <w:pStyle w:val="CodeBlock"/>
      </w:pPr>
      <w:r>
        <w:t>quarkus.oidc.application-type=service</w:t>
      </w:r>
    </w:p>
    <w:p w14:paraId="10F68505" w14:textId="77777777" w:rsidR="00A84C33" w:rsidRDefault="00000000">
      <w:pPr>
        <w:pStyle w:val="CodeBlock"/>
      </w:pPr>
      <w:r>
        <w:t># Cliente Keycloak bearer-only dedicado a este microservicio</w:t>
      </w:r>
    </w:p>
    <w:p w14:paraId="5C59B861" w14:textId="77777777" w:rsidR="00A84C33" w:rsidRDefault="00000000">
      <w:pPr>
        <w:pStyle w:val="CodeBlock"/>
      </w:pPr>
      <w:r>
        <w:t>quarkus.oidc.client-id=${SSO_ESTRUCTURAS_CLIENT_ID}</w:t>
      </w:r>
    </w:p>
    <w:p w14:paraId="7903377A" w14:textId="77777777" w:rsidR="00A84C33" w:rsidRDefault="00000000">
      <w:pPr>
        <w:pStyle w:val="CodeBlock"/>
      </w:pPr>
      <w:r>
        <w:t>quarkus.oidc.credentials.secret=${SSO_ESTRUCTURAS_CLIENT_SECRET}</w:t>
      </w:r>
    </w:p>
    <w:p w14:paraId="06B3D8FB" w14:textId="722632D5" w:rsidR="00A84C33" w:rsidRDefault="00000000" w:rsidP="00B23815">
      <w:pPr>
        <w:pStyle w:val="CodeBlock"/>
      </w:pPr>
      <w:r>
        <w:t xml:space="preserve"># Exige que el claim "aud" del token incluya este client-id: </w:t>
      </w:r>
      <w:r w:rsidR="00B23815">
        <w:t xml:space="preserve">sino </w:t>
      </w:r>
      <w:r>
        <w:t>rechaza tokens</w:t>
      </w:r>
    </w:p>
    <w:p w14:paraId="3C97B900" w14:textId="77777777" w:rsidR="00A84C33" w:rsidRDefault="00000000">
      <w:pPr>
        <w:pStyle w:val="CodeBlockLast"/>
      </w:pPr>
      <w:r>
        <w:t>quarkus.oidc.token.audience=${SSO_ESTRUCTURAS_CLIENT_ID}</w:t>
      </w:r>
    </w:p>
    <w:p w14:paraId="23A10819" w14:textId="77777777" w:rsidR="00A84C33" w:rsidRDefault="00A84C33"/>
    <w:p w14:paraId="73C06B6A" w14:textId="77777777" w:rsidR="00A84C33" w:rsidRDefault="00000000">
      <w:r>
        <w:t>Detalle de cada propiedad:</w:t>
      </w:r>
    </w:p>
    <w:tbl>
      <w:tblPr>
        <w:tblW w:w="935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50"/>
      </w:tblGrid>
      <w:tr w:rsidR="00A84C33" w14:paraId="1DA115E3" w14:textId="77777777">
        <w:tc>
          <w:tcPr>
            <w:tcW w:w="3200" w:type="dxa"/>
            <w:shd w:val="clear" w:color="auto" w:fill="1F3864"/>
          </w:tcPr>
          <w:p w14:paraId="37E5B486" w14:textId="77777777" w:rsidR="00A84C33" w:rsidRDefault="00000000">
            <w:pPr>
              <w:pStyle w:val="TableHeaderCell"/>
            </w:pPr>
            <w:r>
              <w:t>Propiedad</w:t>
            </w:r>
          </w:p>
        </w:tc>
        <w:tc>
          <w:tcPr>
            <w:tcW w:w="6150" w:type="dxa"/>
            <w:shd w:val="clear" w:color="auto" w:fill="1F3864"/>
          </w:tcPr>
          <w:p w14:paraId="024B4BA1" w14:textId="77777777" w:rsidR="00A84C33" w:rsidRDefault="00000000">
            <w:pPr>
              <w:pStyle w:val="TableHeaderCell"/>
            </w:pPr>
            <w:r>
              <w:t>Descripción</w:t>
            </w:r>
          </w:p>
        </w:tc>
      </w:tr>
      <w:tr w:rsidR="00A84C33" w14:paraId="7ACB42A0" w14:textId="77777777">
        <w:tc>
          <w:tcPr>
            <w:tcW w:w="3200" w:type="dxa"/>
          </w:tcPr>
          <w:p w14:paraId="47D17A5C" w14:textId="77777777" w:rsidR="00A84C33" w:rsidRDefault="00000000">
            <w:pPr>
              <w:pStyle w:val="TableCell"/>
            </w:pPr>
            <w:r>
              <w:rPr>
                <w:rStyle w:val="InlineCode"/>
              </w:rPr>
              <w:t>quarkus.oidc.application-type=service</w:t>
            </w:r>
          </w:p>
        </w:tc>
        <w:tc>
          <w:tcPr>
            <w:tcW w:w="6150" w:type="dxa"/>
          </w:tcPr>
          <w:p w14:paraId="4A50048C" w14:textId="77777777" w:rsidR="00A84C33" w:rsidRDefault="00000000">
            <w:pPr>
              <w:pStyle w:val="TableCell"/>
            </w:pPr>
            <w:r>
              <w:t>Declara el microservicio como resource server puro: nunca redirige a un formulario de login, únicamente valida tokens Bearer entrantes.</w:t>
            </w:r>
          </w:p>
        </w:tc>
      </w:tr>
      <w:tr w:rsidR="00A84C33" w14:paraId="5157FE8B" w14:textId="77777777">
        <w:tc>
          <w:tcPr>
            <w:tcW w:w="3200" w:type="dxa"/>
          </w:tcPr>
          <w:p w14:paraId="62C7F72C" w14:textId="77777777" w:rsidR="00A84C33" w:rsidRDefault="00000000">
            <w:pPr>
              <w:pStyle w:val="TableCell"/>
            </w:pPr>
            <w:r>
              <w:rPr>
                <w:rStyle w:val="InlineCode"/>
              </w:rPr>
              <w:t>quarkus.oidc.client-id</w:t>
            </w:r>
          </w:p>
        </w:tc>
        <w:tc>
          <w:tcPr>
            <w:tcW w:w="6150" w:type="dxa"/>
          </w:tcPr>
          <w:p w14:paraId="2C624759" w14:textId="77777777" w:rsidR="00A84C33" w:rsidRDefault="00000000">
            <w:pPr>
              <w:pStyle w:val="TableCell"/>
            </w:pPr>
            <w:r>
              <w:t>Identificador del cliente Keycloak del backend (paso 5). Debe coincidir exactamente con el Client ID creado en Keycloak.</w:t>
            </w:r>
          </w:p>
        </w:tc>
      </w:tr>
      <w:tr w:rsidR="00A84C33" w14:paraId="52CD9C95" w14:textId="77777777">
        <w:tc>
          <w:tcPr>
            <w:tcW w:w="3200" w:type="dxa"/>
          </w:tcPr>
          <w:p w14:paraId="37CCF2D6" w14:textId="77777777" w:rsidR="00A84C33" w:rsidRDefault="00000000">
            <w:pPr>
              <w:pStyle w:val="TableCell"/>
            </w:pPr>
            <w:r>
              <w:rPr>
                <w:rStyle w:val="InlineCode"/>
              </w:rPr>
              <w:t>quarkus.oidc.credentials.secret</w:t>
            </w:r>
          </w:p>
        </w:tc>
        <w:tc>
          <w:tcPr>
            <w:tcW w:w="6150" w:type="dxa"/>
          </w:tcPr>
          <w:p w14:paraId="4C8CDB80" w14:textId="77777777" w:rsidR="00A84C33" w:rsidRDefault="00000000">
            <w:pPr>
              <w:pStyle w:val="TableCell"/>
            </w:pPr>
            <w:r>
              <w:t>Secreto del cliente confidencial (pestaña Credentials en Keycloak). Quarkus lo usa para autenticarse contra el servidor OIDC (p. ej. JWKS/introspección).</w:t>
            </w:r>
          </w:p>
        </w:tc>
      </w:tr>
      <w:tr w:rsidR="00A84C33" w14:paraId="4A00167E" w14:textId="77777777">
        <w:tc>
          <w:tcPr>
            <w:tcW w:w="3200" w:type="dxa"/>
          </w:tcPr>
          <w:p w14:paraId="34FCED3A" w14:textId="77777777" w:rsidR="00A84C33" w:rsidRDefault="00000000">
            <w:pPr>
              <w:pStyle w:val="TableCell"/>
            </w:pPr>
            <w:r>
              <w:rPr>
                <w:rStyle w:val="InlineCode"/>
              </w:rPr>
              <w:t>quarkus.oidc.token.audience</w:t>
            </w:r>
          </w:p>
        </w:tc>
        <w:tc>
          <w:tcPr>
            <w:tcW w:w="6150" w:type="dxa"/>
          </w:tcPr>
          <w:p w14:paraId="66258F87" w14:textId="77777777" w:rsidR="00A84C33" w:rsidRDefault="00000000">
            <w:pPr>
              <w:pStyle w:val="TableCell"/>
            </w:pPr>
            <w:r>
              <w:t>Exige que el claim "aud" del token incluya este valor. Sin esta propiedad, el backend aceptaría cualquier token válido del realm, sin importar para qué cliente fue emitido.</w:t>
            </w:r>
          </w:p>
        </w:tc>
      </w:tr>
      <w:tr w:rsidR="00A84C33" w14:paraId="68BD0A8D" w14:textId="77777777">
        <w:tc>
          <w:tcPr>
            <w:tcW w:w="3200" w:type="dxa"/>
          </w:tcPr>
          <w:p w14:paraId="006BC18F" w14:textId="77777777" w:rsidR="00A84C33" w:rsidRDefault="00000000">
            <w:pPr>
              <w:pStyle w:val="TableCell"/>
            </w:pPr>
            <w:r>
              <w:rPr>
                <w:rStyle w:val="InlineCode"/>
              </w:rPr>
              <w:lastRenderedPageBreak/>
              <w:t>quarkus.oidc.auth-server-url</w:t>
            </w:r>
          </w:p>
        </w:tc>
        <w:tc>
          <w:tcPr>
            <w:tcW w:w="6150" w:type="dxa"/>
          </w:tcPr>
          <w:p w14:paraId="40ED4000" w14:textId="77777777" w:rsidR="00A84C33" w:rsidRDefault="00000000">
            <w:pPr>
              <w:pStyle w:val="TableCell"/>
            </w:pPr>
            <w:r>
              <w:t>URL base del realm en Keycloak. Ya configurada por ambiente:</w:t>
            </w:r>
            <w:r>
              <w:rPr>
                <w:rStyle w:val="InlineCode"/>
              </w:rPr>
              <w:t>${URL_SSO_INTRANET}/auth/realms/Intranet</w:t>
            </w:r>
            <w:r>
              <w:t>(perfiles %dev/%test/%prod).</w:t>
            </w:r>
          </w:p>
        </w:tc>
      </w:tr>
    </w:tbl>
    <w:p w14:paraId="374AC4A0" w14:textId="77777777" w:rsidR="00A84C33" w:rsidRDefault="00A84C33"/>
    <w:p w14:paraId="4A65FC33" w14:textId="77777777" w:rsidR="00A84C33" w:rsidRDefault="00000000">
      <w:pPr>
        <w:pStyle w:val="Ttulo1"/>
      </w:pPr>
      <w:r>
        <w:t>10. Variables de entorno requeridas</w:t>
      </w:r>
    </w:p>
    <w:tbl>
      <w:tblPr>
        <w:tblW w:w="935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4150"/>
      </w:tblGrid>
      <w:tr w:rsidR="00A84C33" w14:paraId="7C911B6A" w14:textId="77777777">
        <w:tc>
          <w:tcPr>
            <w:tcW w:w="2600" w:type="dxa"/>
            <w:shd w:val="clear" w:color="auto" w:fill="1F3864"/>
          </w:tcPr>
          <w:p w14:paraId="458914B5" w14:textId="77777777" w:rsidR="00A84C33" w:rsidRDefault="00000000">
            <w:pPr>
              <w:pStyle w:val="TableHeaderCell"/>
            </w:pPr>
            <w:r>
              <w:t>Variable</w:t>
            </w:r>
          </w:p>
        </w:tc>
        <w:tc>
          <w:tcPr>
            <w:tcW w:w="2600" w:type="dxa"/>
            <w:shd w:val="clear" w:color="auto" w:fill="1F3864"/>
          </w:tcPr>
          <w:p w14:paraId="36EC37F9" w14:textId="77777777" w:rsidR="00A84C33" w:rsidRDefault="00000000">
            <w:pPr>
              <w:pStyle w:val="TableHeaderCell"/>
            </w:pPr>
            <w:r>
              <w:t>Ejemplo</w:t>
            </w:r>
          </w:p>
        </w:tc>
        <w:tc>
          <w:tcPr>
            <w:tcW w:w="4150" w:type="dxa"/>
            <w:shd w:val="clear" w:color="auto" w:fill="1F3864"/>
          </w:tcPr>
          <w:p w14:paraId="1F2C2B98" w14:textId="77777777" w:rsidR="00A84C33" w:rsidRDefault="00000000">
            <w:pPr>
              <w:pStyle w:val="TableHeaderCell"/>
            </w:pPr>
            <w:r>
              <w:t>Descripción</w:t>
            </w:r>
          </w:p>
        </w:tc>
      </w:tr>
      <w:tr w:rsidR="00A84C33" w14:paraId="7A1AAA64" w14:textId="77777777">
        <w:tc>
          <w:tcPr>
            <w:tcW w:w="2600" w:type="dxa"/>
          </w:tcPr>
          <w:p w14:paraId="65D5B05C" w14:textId="77777777" w:rsidR="00A84C33" w:rsidRDefault="00000000">
            <w:pPr>
              <w:pStyle w:val="TableCell"/>
            </w:pPr>
            <w:r>
              <w:rPr>
                <w:rStyle w:val="InlineCode"/>
              </w:rPr>
              <w:t>URL_SSO_INTRANET</w:t>
            </w:r>
          </w:p>
        </w:tc>
        <w:tc>
          <w:tcPr>
            <w:tcW w:w="2600" w:type="dxa"/>
          </w:tcPr>
          <w:p w14:paraId="51DBA731" w14:textId="77777777" w:rsidR="00A84C33" w:rsidRDefault="00000000">
            <w:pPr>
              <w:pStyle w:val="TableCell"/>
            </w:pPr>
            <w:r>
              <w:t>http://10.12.4.66</w:t>
            </w:r>
          </w:p>
        </w:tc>
        <w:tc>
          <w:tcPr>
            <w:tcW w:w="4150" w:type="dxa"/>
          </w:tcPr>
          <w:p w14:paraId="72A9E09C" w14:textId="77777777" w:rsidR="00A84C33" w:rsidRDefault="00000000">
            <w:pPr>
              <w:pStyle w:val="TableCell"/>
            </w:pPr>
            <w:r>
              <w:t>Host base de Keycloak (sin /auth/realms/…).</w:t>
            </w:r>
          </w:p>
        </w:tc>
      </w:tr>
      <w:tr w:rsidR="00A84C33" w14:paraId="4CDF1CD7" w14:textId="77777777">
        <w:tc>
          <w:tcPr>
            <w:tcW w:w="2600" w:type="dxa"/>
          </w:tcPr>
          <w:p w14:paraId="6C07C9EB" w14:textId="77777777" w:rsidR="00A84C33" w:rsidRDefault="00000000">
            <w:pPr>
              <w:pStyle w:val="TableCell"/>
            </w:pPr>
            <w:r>
              <w:rPr>
                <w:rStyle w:val="InlineCode"/>
              </w:rPr>
              <w:t>SSO_ESTRUCTURAS_CLIENT_ID</w:t>
            </w:r>
          </w:p>
        </w:tc>
        <w:tc>
          <w:tcPr>
            <w:tcW w:w="2600" w:type="dxa"/>
          </w:tcPr>
          <w:p w14:paraId="01DA2580" w14:textId="77777777" w:rsidR="00A84C33" w:rsidRDefault="00000000">
            <w:pPr>
              <w:pStyle w:val="TableCell"/>
            </w:pPr>
            <w:r>
              <w:t>app-sri-estructuras-microservicio</w:t>
            </w:r>
          </w:p>
        </w:tc>
        <w:tc>
          <w:tcPr>
            <w:tcW w:w="4150" w:type="dxa"/>
          </w:tcPr>
          <w:p w14:paraId="28DD4CFC" w14:textId="77777777" w:rsidR="00A84C33" w:rsidRDefault="00000000">
            <w:pPr>
              <w:pStyle w:val="TableCell"/>
            </w:pPr>
            <w:r>
              <w:t>Client ID del backend creado en el paso 5.</w:t>
            </w:r>
          </w:p>
        </w:tc>
      </w:tr>
      <w:tr w:rsidR="00A84C33" w14:paraId="6FACA42E" w14:textId="77777777">
        <w:tc>
          <w:tcPr>
            <w:tcW w:w="2600" w:type="dxa"/>
          </w:tcPr>
          <w:p w14:paraId="266244EA" w14:textId="77777777" w:rsidR="00A84C33" w:rsidRDefault="00000000">
            <w:pPr>
              <w:pStyle w:val="TableCell"/>
            </w:pPr>
            <w:r>
              <w:rPr>
                <w:rStyle w:val="InlineCode"/>
              </w:rPr>
              <w:t>SSO_ESTRUCTURAS_CLIENT_SECRET</w:t>
            </w:r>
          </w:p>
        </w:tc>
        <w:tc>
          <w:tcPr>
            <w:tcW w:w="2600" w:type="dxa"/>
          </w:tcPr>
          <w:p w14:paraId="22FA9290" w14:textId="77777777" w:rsidR="00A84C33" w:rsidRDefault="00000000">
            <w:pPr>
              <w:pStyle w:val="TableCell"/>
            </w:pPr>
            <w:r>
              <w:t>(valor real de la pestaña Credentials)</w:t>
            </w:r>
          </w:p>
        </w:tc>
        <w:tc>
          <w:tcPr>
            <w:tcW w:w="4150" w:type="dxa"/>
          </w:tcPr>
          <w:p w14:paraId="01D551B8" w14:textId="77777777" w:rsidR="00A84C33" w:rsidRDefault="00000000">
            <w:pPr>
              <w:pStyle w:val="TableCell"/>
            </w:pPr>
            <w:r>
              <w:t>Secreto del cliente confidencial. Nunca commitear el valor real.</w:t>
            </w:r>
          </w:p>
        </w:tc>
      </w:tr>
    </w:tbl>
    <w:p w14:paraId="4D237C96" w14:textId="77777777" w:rsidR="00A84C33" w:rsidRDefault="00A84C33"/>
    <w:p w14:paraId="656F6B6B" w14:textId="77777777" w:rsidR="00A84C33" w:rsidRDefault="00000000">
      <w:pPr>
        <w:pStyle w:val="Note"/>
      </w:pPr>
      <w:r>
        <w:t>Estas variables también están documentadas en el README.md del repositorio backend, y deben configurarse en cada ambiente: IDE local, docker-compose, pipeline CI/CD y servidor de despliegue.</w:t>
      </w:r>
    </w:p>
    <w:p w14:paraId="7E78DB68" w14:textId="77777777" w:rsidR="00A84C33" w:rsidRDefault="00000000">
      <w:pPr>
        <w:pStyle w:val="Ttulo1"/>
      </w:pPr>
      <w:r>
        <w:t>11. Flujo end-to-end: cómo el backend consume el token</w:t>
      </w:r>
    </w:p>
    <w:p w14:paraId="7D86286D" w14:textId="77777777" w:rsidR="00A84C33" w:rsidRDefault="00000000">
      <w:pPr>
        <w:pStyle w:val="ListNumberManual"/>
      </w:pPr>
      <w:r>
        <w:t>1. El cliente web obtiene el access_token de Keycloak tras el login (Standard flow / Authorization Code).</w:t>
      </w:r>
    </w:p>
    <w:p w14:paraId="1EC9E359" w14:textId="77777777" w:rsidR="00A84C33" w:rsidRDefault="00000000">
      <w:pPr>
        <w:pStyle w:val="ListNumberManual"/>
      </w:pPr>
      <w:r>
        <w:t>2. En cada llamada a la API del backend, el frontend envía el encabezado</w:t>
      </w:r>
      <w:r>
        <w:rPr>
          <w:rStyle w:val="InlineCode"/>
        </w:rPr>
        <w:t>Authorization: Bearer &lt;access_token&gt;</w:t>
      </w:r>
      <w:r>
        <w:t>.</w:t>
      </w:r>
    </w:p>
    <w:p w14:paraId="422389A6" w14:textId="77777777" w:rsidR="00A84C33" w:rsidRDefault="00000000">
      <w:pPr>
        <w:pStyle w:val="ListNumberManual"/>
      </w:pPr>
      <w:r>
        <w:t>3. Quarkus OIDC intercepta la petición antes de llegar al recurso REST y: (a) descarga y cachea las claves públicas JWKS del realm para validar la firma; (b) verifica expiración (exp) y validez temporal del token; (c) verifica que el claim aud incluya el valor configurado en</w:t>
      </w:r>
      <w:r>
        <w:rPr>
          <w:rStyle w:val="InlineCode"/>
        </w:rPr>
        <w:t>quarkus.oidc.token.audience</w:t>
      </w:r>
      <w:r>
        <w:t>; (d) si alguna validación falla, responde 401 Unauthorized automáticamente, sin llegar al código de negocio.</w:t>
      </w:r>
    </w:p>
    <w:p w14:paraId="6864879C" w14:textId="77777777" w:rsidR="00A84C33" w:rsidRDefault="00000000">
      <w:pPr>
        <w:pStyle w:val="ListNumberManual"/>
      </w:pPr>
      <w:r>
        <w:t>4. Si el token es válido, el contexto de seguridad queda disponible para los filtros y recursos del microservicio (por ejemplo, AuditValidationFilter, anotaciones de seguridad, JwtValidationService).</w:t>
      </w:r>
    </w:p>
    <w:p w14:paraId="73B3517F" w14:textId="77777777" w:rsidR="00A84C33" w:rsidRDefault="00000000">
      <w:pPr>
        <w:pStyle w:val="Ttulo1"/>
      </w:pPr>
      <w:r>
        <w:t>12. Solución de problemas comunes</w:t>
      </w:r>
    </w:p>
    <w:tbl>
      <w:tblPr>
        <w:tblW w:w="935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900"/>
        <w:gridCol w:w="3850"/>
      </w:tblGrid>
      <w:tr w:rsidR="00A84C33" w14:paraId="719B3277" w14:textId="77777777">
        <w:tc>
          <w:tcPr>
            <w:tcW w:w="2600" w:type="dxa"/>
            <w:shd w:val="clear" w:color="auto" w:fill="1F3864"/>
          </w:tcPr>
          <w:p w14:paraId="414A6F92" w14:textId="77777777" w:rsidR="00A84C33" w:rsidRDefault="00000000">
            <w:pPr>
              <w:pStyle w:val="TableHeaderCell"/>
            </w:pPr>
            <w:r>
              <w:t>Síntoma</w:t>
            </w:r>
          </w:p>
        </w:tc>
        <w:tc>
          <w:tcPr>
            <w:tcW w:w="2900" w:type="dxa"/>
            <w:shd w:val="clear" w:color="auto" w:fill="1F3864"/>
          </w:tcPr>
          <w:p w14:paraId="5FA70662" w14:textId="77777777" w:rsidR="00A84C33" w:rsidRDefault="00000000">
            <w:pPr>
              <w:pStyle w:val="TableHeaderCell"/>
            </w:pPr>
            <w:r>
              <w:t>Causa probable</w:t>
            </w:r>
          </w:p>
        </w:tc>
        <w:tc>
          <w:tcPr>
            <w:tcW w:w="3850" w:type="dxa"/>
            <w:shd w:val="clear" w:color="auto" w:fill="1F3864"/>
          </w:tcPr>
          <w:p w14:paraId="25ACCF58" w14:textId="77777777" w:rsidR="00A84C33" w:rsidRDefault="00000000">
            <w:pPr>
              <w:pStyle w:val="TableHeaderCell"/>
            </w:pPr>
            <w:r>
              <w:t>Acción recomendada</w:t>
            </w:r>
          </w:p>
        </w:tc>
      </w:tr>
      <w:tr w:rsidR="00A84C33" w14:paraId="2C3423C6" w14:textId="77777777">
        <w:tc>
          <w:tcPr>
            <w:tcW w:w="2600" w:type="dxa"/>
          </w:tcPr>
          <w:p w14:paraId="69EBF4B7" w14:textId="77777777" w:rsidR="00A84C33" w:rsidRDefault="00000000">
            <w:pPr>
              <w:pStyle w:val="TableCell"/>
            </w:pPr>
            <w:r>
              <w:t>401 aun con "aud" correcto en el token</w:t>
            </w:r>
          </w:p>
        </w:tc>
        <w:tc>
          <w:tcPr>
            <w:tcW w:w="2900" w:type="dxa"/>
          </w:tcPr>
          <w:p w14:paraId="1C18097E" w14:textId="77777777" w:rsidR="00A84C33" w:rsidRDefault="00000000">
            <w:pPr>
              <w:pStyle w:val="TableCell"/>
            </w:pPr>
            <w:r>
              <w:t>El proceso Quarkus no fue reiniciado tras configurar las variables de entorno; no hay hot-reload de env vars.</w:t>
            </w:r>
          </w:p>
        </w:tc>
        <w:tc>
          <w:tcPr>
            <w:tcW w:w="3850" w:type="dxa"/>
          </w:tcPr>
          <w:p w14:paraId="6130E7A9" w14:textId="77777777" w:rsidR="00A84C33" w:rsidRDefault="00000000">
            <w:pPr>
              <w:pStyle w:val="TableCell"/>
            </w:pPr>
            <w:r>
              <w:t>Detener y volver a iniciar</w:t>
            </w:r>
            <w:r>
              <w:rPr>
                <w:rStyle w:val="InlineCode"/>
              </w:rPr>
              <w:t>mvn quarkus:dev</w:t>
            </w:r>
            <w:r>
              <w:t>o el proceso desplegado.</w:t>
            </w:r>
          </w:p>
        </w:tc>
      </w:tr>
      <w:tr w:rsidR="00A84C33" w14:paraId="6EDDCA81" w14:textId="77777777">
        <w:tc>
          <w:tcPr>
            <w:tcW w:w="2600" w:type="dxa"/>
          </w:tcPr>
          <w:p w14:paraId="674D338D" w14:textId="77777777" w:rsidR="00A84C33" w:rsidRDefault="00000000">
            <w:pPr>
              <w:pStyle w:val="TableCell"/>
            </w:pPr>
            <w:r>
              <w:t>401 y no se conoce la causa exacta</w:t>
            </w:r>
          </w:p>
        </w:tc>
        <w:tc>
          <w:tcPr>
            <w:tcW w:w="2900" w:type="dxa"/>
          </w:tcPr>
          <w:p w14:paraId="17BF9326" w14:textId="77777777" w:rsidR="00A84C33" w:rsidRDefault="00000000">
            <w:pPr>
              <w:pStyle w:val="TableCell"/>
            </w:pPr>
            <w:r>
              <w:t>Falta nivel de log detallado del módulo OIDC.</w:t>
            </w:r>
          </w:p>
        </w:tc>
        <w:tc>
          <w:tcPr>
            <w:tcW w:w="3850" w:type="dxa"/>
          </w:tcPr>
          <w:p w14:paraId="2B7CD400" w14:textId="77777777" w:rsidR="00A84C33" w:rsidRDefault="00000000">
            <w:pPr>
              <w:pStyle w:val="TableCell"/>
            </w:pPr>
            <w:r>
              <w:t>Agregar temporalmente</w:t>
            </w:r>
            <w:r>
              <w:rPr>
                <w:rStyle w:val="InlineCode"/>
              </w:rPr>
              <w:t>quarkus.log.category."io.quarkus.oidc".level=DEBUG</w:t>
            </w:r>
            <w:r>
              <w:t xml:space="preserve">y repetir </w:t>
            </w:r>
            <w:r>
              <w:lastRenderedPageBreak/>
              <w:t>la petición; revisar la consola.</w:t>
            </w:r>
          </w:p>
        </w:tc>
      </w:tr>
      <w:tr w:rsidR="00A84C33" w14:paraId="07FEDF07" w14:textId="77777777">
        <w:tc>
          <w:tcPr>
            <w:tcW w:w="2600" w:type="dxa"/>
          </w:tcPr>
          <w:p w14:paraId="4DAEB425" w14:textId="77777777" w:rsidR="00A84C33" w:rsidRDefault="00000000">
            <w:pPr>
              <w:pStyle w:val="TableCell"/>
            </w:pPr>
            <w:r>
              <w:lastRenderedPageBreak/>
              <w:t>401 aunque el backend esté bien configurado</w:t>
            </w:r>
          </w:p>
        </w:tc>
        <w:tc>
          <w:tcPr>
            <w:tcW w:w="2900" w:type="dxa"/>
          </w:tcPr>
          <w:p w14:paraId="4241BDE4" w14:textId="77777777" w:rsidR="00A84C33" w:rsidRDefault="00000000">
            <w:pPr>
              <w:pStyle w:val="TableCell"/>
            </w:pPr>
            <w:r>
              <w:t>El frontend no está enviando el encabezado Authorization en esa petición específica.</w:t>
            </w:r>
          </w:p>
        </w:tc>
        <w:tc>
          <w:tcPr>
            <w:tcW w:w="3850" w:type="dxa"/>
          </w:tcPr>
          <w:p w14:paraId="6F1EB47C" w14:textId="77777777" w:rsidR="00A84C33" w:rsidRDefault="00000000">
            <w:pPr>
              <w:pStyle w:val="TableCell"/>
            </w:pPr>
            <w:r>
              <w:t>Verificar en DevTools → Network que la petición incluya el header Bearer.</w:t>
            </w:r>
          </w:p>
        </w:tc>
      </w:tr>
      <w:tr w:rsidR="00A84C33" w14:paraId="792C6900" w14:textId="77777777">
        <w:tc>
          <w:tcPr>
            <w:tcW w:w="2600" w:type="dxa"/>
          </w:tcPr>
          <w:p w14:paraId="57BECB42" w14:textId="77777777" w:rsidR="00A84C33" w:rsidRDefault="00000000">
            <w:pPr>
              <w:pStyle w:val="TableCell"/>
            </w:pPr>
            <w:r>
              <w:t>401 relacionado con el client secret</w:t>
            </w:r>
          </w:p>
        </w:tc>
        <w:tc>
          <w:tcPr>
            <w:tcW w:w="2900" w:type="dxa"/>
          </w:tcPr>
          <w:p w14:paraId="4D889A43" w14:textId="77777777" w:rsidR="00A84C33" w:rsidRDefault="00000000">
            <w:pPr>
              <w:pStyle w:val="TableCell"/>
            </w:pPr>
            <w:r>
              <w:t>El secret configurado no coincide con el de Keycloak.</w:t>
            </w:r>
          </w:p>
        </w:tc>
        <w:tc>
          <w:tcPr>
            <w:tcW w:w="3850" w:type="dxa"/>
          </w:tcPr>
          <w:p w14:paraId="0C92DCC7" w14:textId="77777777" w:rsidR="00A84C33" w:rsidRDefault="00000000">
            <w:pPr>
              <w:pStyle w:val="TableCell"/>
            </w:pPr>
            <w:r>
              <w:t>Volver a copiar el secret desde Credentials en Keycloak y compararlo exactamente (sin espacios) con la variable de entorno.</w:t>
            </w:r>
          </w:p>
        </w:tc>
      </w:tr>
      <w:tr w:rsidR="00A84C33" w14:paraId="69476F3F" w14:textId="77777777">
        <w:tc>
          <w:tcPr>
            <w:tcW w:w="2600" w:type="dxa"/>
          </w:tcPr>
          <w:p w14:paraId="37C5135F" w14:textId="77777777" w:rsidR="00A84C33" w:rsidRDefault="00000000">
            <w:pPr>
              <w:pStyle w:val="TableCell"/>
            </w:pPr>
            <w:r>
              <w:t>Token válido en jwt.io pero rechazado igual</w:t>
            </w:r>
          </w:p>
        </w:tc>
        <w:tc>
          <w:tcPr>
            <w:tcW w:w="2900" w:type="dxa"/>
          </w:tcPr>
          <w:p w14:paraId="1E84EC6B" w14:textId="77777777" w:rsidR="00A84C33" w:rsidRDefault="00000000">
            <w:pPr>
              <w:pStyle w:val="TableCell"/>
            </w:pPr>
            <w:r>
              <w:t>El client-id configurado en el backend no coincide con el "aud" real del token.</w:t>
            </w:r>
          </w:p>
        </w:tc>
        <w:tc>
          <w:tcPr>
            <w:tcW w:w="3850" w:type="dxa"/>
          </w:tcPr>
          <w:p w14:paraId="6C6E9498" w14:textId="77777777" w:rsidR="00A84C33" w:rsidRDefault="00000000">
            <w:pPr>
              <w:pStyle w:val="TableCell"/>
            </w:pPr>
            <w:r>
              <w:t>Confirmar que</w:t>
            </w:r>
            <w:r>
              <w:rPr>
                <w:rStyle w:val="InlineCode"/>
              </w:rPr>
              <w:t>SSO_ESTRUCTURAS_CLIENT_ID = app-sri-estructuras-microservicio</w:t>
            </w:r>
            <w:r>
              <w:t>en ambos lados.</w:t>
            </w:r>
          </w:p>
        </w:tc>
      </w:tr>
    </w:tbl>
    <w:p w14:paraId="7483B09B" w14:textId="77777777" w:rsidR="00A84C33" w:rsidRDefault="00A84C33"/>
    <w:p w14:paraId="7B1B19A6" w14:textId="77777777" w:rsidR="00A84C33" w:rsidRDefault="00000000">
      <w:pPr>
        <w:pStyle w:val="Ttulo1"/>
      </w:pPr>
      <w:r>
        <w:t>13. Checklist final de validación</w:t>
      </w:r>
    </w:p>
    <w:p w14:paraId="59B3F282" w14:textId="77777777" w:rsidR="00A84C33" w:rsidRDefault="00000000">
      <w:pPr>
        <w:pStyle w:val="Checklist"/>
      </w:pPr>
      <w:r>
        <w:t>☐ Cliente backend creado en Keycloak (bearer-only / confidencial).</w:t>
      </w:r>
    </w:p>
    <w:p w14:paraId="676B5325" w14:textId="77777777" w:rsidR="00A84C33" w:rsidRDefault="00000000">
      <w:pPr>
        <w:pStyle w:val="Checklist"/>
      </w:pPr>
      <w:r>
        <w:t>☐ Client secret copiado y configurado como SSO_ESTRUCTURAS_CLIENT_SECRET.</w:t>
      </w:r>
    </w:p>
    <w:p w14:paraId="1B619E31" w14:textId="77777777" w:rsidR="00A84C33" w:rsidRDefault="00000000">
      <w:pPr>
        <w:pStyle w:val="Checklist"/>
      </w:pPr>
      <w:r>
        <w:t>☐ Client Scope aud-estructuras creado con Audience Mapper apuntando al cliente backend.</w:t>
      </w:r>
    </w:p>
    <w:p w14:paraId="0AFE78EC" w14:textId="77777777" w:rsidR="00A84C33" w:rsidRDefault="00000000">
      <w:pPr>
        <w:pStyle w:val="Checklist"/>
      </w:pPr>
      <w:r>
        <w:t>☐ Client Scope asignado como Default en el cliente web.</w:t>
      </w:r>
    </w:p>
    <w:p w14:paraId="5F71B546" w14:textId="77777777" w:rsidR="00A84C33" w:rsidRDefault="00000000">
      <w:pPr>
        <w:pStyle w:val="Checklist"/>
      </w:pPr>
      <w:r>
        <w:t>☐ application.properties del backend con application-type=service, client-id, credentials.secret y token.audience.</w:t>
      </w:r>
    </w:p>
    <w:p w14:paraId="28441978" w14:textId="77777777" w:rsidR="00A84C33" w:rsidRDefault="00000000">
      <w:pPr>
        <w:pStyle w:val="Checklist"/>
      </w:pPr>
      <w:r>
        <w:t>☐ Variables de entorno configuradas en el ambiente (IDE local / despliegue).</w:t>
      </w:r>
    </w:p>
    <w:p w14:paraId="5791DEAB" w14:textId="77777777" w:rsidR="00A84C33" w:rsidRDefault="00000000">
      <w:pPr>
        <w:pStyle w:val="Checklist"/>
      </w:pPr>
      <w:r>
        <w:t>☐ Proceso backend reiniciado tras configurar las variables de entorno.</w:t>
      </w:r>
    </w:p>
    <w:p w14:paraId="12182A4E" w14:textId="77777777" w:rsidR="00A84C33" w:rsidRDefault="00000000">
      <w:pPr>
        <w:pStyle w:val="Checklist"/>
      </w:pPr>
      <w:r>
        <w:t>☐ Token verificado en jwt.io (o decodificador local): aud correcto, scope incluye aud-estructuras.</w:t>
      </w:r>
    </w:p>
    <w:p w14:paraId="441BA031" w14:textId="77777777" w:rsidR="00A84C33" w:rsidRDefault="00000000">
      <w:pPr>
        <w:pStyle w:val="Checklist"/>
      </w:pPr>
      <w:r>
        <w:t>☐ Petición de prueba desde el frontend retorna 200 (no 401).</w:t>
      </w:r>
    </w:p>
    <w:p w14:paraId="72DD57EE" w14:textId="77777777" w:rsidR="00A84C33" w:rsidRDefault="00000000">
      <w:pPr>
        <w:pStyle w:val="FooterNote"/>
      </w:pPr>
      <w:r>
        <w:t>Documento de referencia interna — Servicio de Rentas Internas — Sistema de Gestión de Anexos. Repositorio: sri-anexos-estructura-service.</w:t>
      </w:r>
    </w:p>
    <w:sectPr w:rsidR="00A84C33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4C33"/>
    <w:rsid w:val="000A62E0"/>
    <w:rsid w:val="001430BB"/>
    <w:rsid w:val="004033D5"/>
    <w:rsid w:val="00703443"/>
    <w:rsid w:val="008005D3"/>
    <w:rsid w:val="008B1F6F"/>
    <w:rsid w:val="00A1349A"/>
    <w:rsid w:val="00A32B75"/>
    <w:rsid w:val="00A47AE6"/>
    <w:rsid w:val="00A84C33"/>
    <w:rsid w:val="00B23815"/>
    <w:rsid w:val="00C8453B"/>
    <w:rsid w:val="00CC2274"/>
    <w:rsid w:val="00E4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0705D"/>
  <w15:docId w15:val="{D3C8223E-50E3-44EC-BEA9-64274CC66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lang w:val="es-EC" w:eastAsia="es-E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pBdr>
        <w:bottom w:val="single" w:sz="6" w:space="4" w:color="1F3864"/>
      </w:pBdr>
      <w:spacing w:before="360"/>
      <w:outlineLvl w:val="0"/>
    </w:pPr>
    <w:rPr>
      <w:b/>
      <w:color w:val="1F3864"/>
      <w:sz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80" w:after="120"/>
      <w:outlineLvl w:val="1"/>
    </w:pPr>
    <w:rPr>
      <w:b/>
      <w:color w:val="2E74B5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pPr>
      <w:spacing w:after="120"/>
    </w:pPr>
    <w:rPr>
      <w:b/>
      <w:color w:val="1F3864"/>
      <w:sz w:val="44"/>
    </w:rPr>
  </w:style>
  <w:style w:type="paragraph" w:styleId="Subttulo">
    <w:name w:val="Subtitle"/>
    <w:basedOn w:val="Normal"/>
    <w:uiPriority w:val="11"/>
    <w:qFormat/>
    <w:pPr>
      <w:spacing w:after="80"/>
    </w:pPr>
    <w:rPr>
      <w:i/>
      <w:color w:val="44546A"/>
      <w:sz w:val="26"/>
    </w:rPr>
  </w:style>
  <w:style w:type="paragraph" w:customStyle="1" w:styleId="MetaLine">
    <w:name w:val="Meta Line"/>
    <w:basedOn w:val="Normal"/>
    <w:qFormat/>
    <w:pPr>
      <w:pBdr>
        <w:bottom w:val="single" w:sz="8" w:space="8" w:color="1F3864"/>
      </w:pBdr>
      <w:spacing w:after="480"/>
    </w:pPr>
    <w:rPr>
      <w:color w:val="595959"/>
      <w:sz w:val="20"/>
    </w:rPr>
  </w:style>
  <w:style w:type="paragraph" w:customStyle="1" w:styleId="CodeBlock">
    <w:name w:val="Code Block"/>
    <w:basedOn w:val="Normal"/>
    <w:qFormat/>
    <w:pPr>
      <w:shd w:val="clear" w:color="auto" w:fill="F2F2F2"/>
      <w:spacing w:after="0" w:line="240" w:lineRule="auto"/>
      <w:ind w:left="142" w:right="142"/>
    </w:pPr>
    <w:rPr>
      <w:rFonts w:ascii="Consolas" w:hAnsi="Consolas" w:cs="Consolas"/>
      <w:color w:val="1F1F1F"/>
      <w:sz w:val="19"/>
    </w:rPr>
  </w:style>
  <w:style w:type="paragraph" w:customStyle="1" w:styleId="CodeBlockFirst">
    <w:name w:val="Code Block First"/>
    <w:basedOn w:val="CodeBlock"/>
    <w:qFormat/>
    <w:pPr>
      <w:spacing w:before="80"/>
    </w:pPr>
  </w:style>
  <w:style w:type="paragraph" w:customStyle="1" w:styleId="CodeBlockLast">
    <w:name w:val="Code Block Last"/>
    <w:basedOn w:val="CodeBlock"/>
    <w:qFormat/>
    <w:pPr>
      <w:spacing w:after="80"/>
    </w:pPr>
  </w:style>
  <w:style w:type="paragraph" w:customStyle="1" w:styleId="Note">
    <w:name w:val="Note"/>
    <w:basedOn w:val="Normal"/>
    <w:qFormat/>
    <w:pPr>
      <w:pBdr>
        <w:left w:val="single" w:sz="18" w:space="8" w:color="BF9000"/>
      </w:pBdr>
      <w:shd w:val="clear" w:color="auto" w:fill="FFF2CC"/>
      <w:spacing w:before="80" w:after="200"/>
      <w:ind w:left="142" w:right="142"/>
    </w:pPr>
    <w:rPr>
      <w:i/>
      <w:sz w:val="20"/>
    </w:rPr>
  </w:style>
  <w:style w:type="paragraph" w:customStyle="1" w:styleId="Caution">
    <w:name w:val="Caution"/>
    <w:basedOn w:val="Normal"/>
    <w:qFormat/>
    <w:pPr>
      <w:pBdr>
        <w:left w:val="single" w:sz="18" w:space="8" w:color="C00000"/>
      </w:pBdr>
      <w:shd w:val="clear" w:color="auto" w:fill="FCE4E4"/>
      <w:spacing w:before="80" w:after="200"/>
      <w:ind w:left="142" w:right="142"/>
    </w:pPr>
    <w:rPr>
      <w:i/>
      <w:sz w:val="20"/>
    </w:rPr>
  </w:style>
  <w:style w:type="paragraph" w:customStyle="1" w:styleId="ListNumberManual">
    <w:name w:val="List Number Manual"/>
    <w:basedOn w:val="Normal"/>
    <w:qFormat/>
    <w:pPr>
      <w:spacing w:after="80"/>
      <w:ind w:left="425" w:hanging="425"/>
    </w:pPr>
  </w:style>
  <w:style w:type="paragraph" w:customStyle="1" w:styleId="ListBulletManual">
    <w:name w:val="List Bullet Manual"/>
    <w:basedOn w:val="Normal"/>
    <w:qFormat/>
    <w:pPr>
      <w:spacing w:after="60"/>
      <w:ind w:left="425" w:hanging="425"/>
    </w:pPr>
  </w:style>
  <w:style w:type="paragraph" w:customStyle="1" w:styleId="Checklist">
    <w:name w:val="Checklist"/>
    <w:basedOn w:val="Normal"/>
    <w:qFormat/>
    <w:pPr>
      <w:spacing w:after="100"/>
      <w:ind w:left="425" w:hanging="425"/>
    </w:pPr>
  </w:style>
  <w:style w:type="character" w:customStyle="1" w:styleId="InlineCode">
    <w:name w:val="Inline Code"/>
    <w:qFormat/>
    <w:rPr>
      <w:rFonts w:ascii="Consolas" w:hAnsi="Consolas" w:cs="Consolas"/>
      <w:sz w:val="20"/>
      <w:shd w:val="clear" w:color="auto" w:fill="EDEDED"/>
    </w:rPr>
  </w:style>
  <w:style w:type="paragraph" w:customStyle="1" w:styleId="TableHeaderCell">
    <w:name w:val="Table Header Cell"/>
    <w:basedOn w:val="Normal"/>
    <w:qFormat/>
    <w:pPr>
      <w:spacing w:after="0"/>
    </w:pPr>
    <w:rPr>
      <w:b/>
      <w:color w:val="FFFFFF"/>
      <w:sz w:val="20"/>
    </w:rPr>
  </w:style>
  <w:style w:type="paragraph" w:customStyle="1" w:styleId="TableCell">
    <w:name w:val="Table Cell"/>
    <w:basedOn w:val="Normal"/>
    <w:qFormat/>
    <w:pPr>
      <w:spacing w:after="0"/>
    </w:pPr>
    <w:rPr>
      <w:sz w:val="20"/>
    </w:rPr>
  </w:style>
  <w:style w:type="paragraph" w:customStyle="1" w:styleId="FooterNote">
    <w:name w:val="Footer Note"/>
    <w:basedOn w:val="Normal"/>
    <w:qFormat/>
    <w:pPr>
      <w:pBdr>
        <w:top w:val="single" w:sz="4" w:space="6" w:color="BFBFBF"/>
      </w:pBdr>
      <w:spacing w:before="480" w:after="0"/>
    </w:pPr>
    <w:rPr>
      <w:color w:val="7F7F7F"/>
      <w:sz w:val="18"/>
    </w:rPr>
  </w:style>
  <w:style w:type="character" w:styleId="Hipervnculo">
    <w:name w:val="Hyperlink"/>
    <w:basedOn w:val="Fuentedeprrafopredeter"/>
    <w:uiPriority w:val="99"/>
    <w:unhideWhenUsed/>
    <w:rsid w:val="00CC22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C22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</TotalTime>
  <Pages>7</Pages>
  <Words>1591</Words>
  <Characters>9102</Characters>
  <Application>Microsoft Office Word</Application>
  <DocSecurity>0</DocSecurity>
  <Lines>325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Infraestructura - Configuracion SSO (Keycloak/OIDC)</vt:lpstr>
    </vt:vector>
  </TitlesOfParts>
  <Company>SRI - Gestion de Anexos</Company>
  <LinksUpToDate>false</LinksUpToDate>
  <CharactersWithSpaces>10597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Infraestructura - Configuracion SSO (Keycloak/OIDC)</dc:title>
  <dc:subject>sri-anexos-estructura-service</dc:subject>
  <dc:creator>Carlos Anchundia</dc:creator>
  <cp:lastModifiedBy>Anchundia Valencia, Carlos Eduardo</cp:lastModifiedBy>
  <cp:revision>11</cp:revision>
  <dcterms:created xsi:type="dcterms:W3CDTF">2026-08-19T12:00:00Z</dcterms:created>
  <dcterms:modified xsi:type="dcterms:W3CDTF">2026-09-16T15:28:00Z</dcterms:modified>
</cp:coreProperties>
</file>