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1C8" w14:textId="77777777" w:rsidR="005D7A1E" w:rsidRDefault="005D7A1E"/>
    <w:p w14:paraId="6F5F969A" w14:textId="74760B94" w:rsidR="005D7A1E" w:rsidRDefault="00426BF3" w:rsidP="001271A2">
      <w:pPr>
        <w:rPr>
          <w:color w:val="000000"/>
        </w:rPr>
      </w:pPr>
      <w:r>
        <w:rPr>
          <w:noProof/>
        </w:rPr>
        <mc:AlternateContent>
          <mc:Choice Requires="wps">
            <w:drawing>
              <wp:anchor distT="45720" distB="45720" distL="114300" distR="114300" simplePos="0" relativeHeight="251661312" behindDoc="0" locked="0" layoutInCell="1" hidden="0" allowOverlap="1" wp14:anchorId="4D65D059" wp14:editId="1C5D1ABF">
                <wp:simplePos x="0" y="0"/>
                <wp:positionH relativeFrom="column">
                  <wp:posOffset>262890</wp:posOffset>
                </wp:positionH>
                <wp:positionV relativeFrom="paragraph">
                  <wp:posOffset>4021455</wp:posOffset>
                </wp:positionV>
                <wp:extent cx="5739130" cy="2347595"/>
                <wp:effectExtent l="0" t="0" r="0" b="0"/>
                <wp:wrapSquare wrapText="bothSides" distT="45720" distB="45720" distL="114300" distR="114300"/>
                <wp:docPr id="1836311795" name="Rectángulo 1836311795"/>
                <wp:cNvGraphicFramePr/>
                <a:graphic xmlns:a="http://schemas.openxmlformats.org/drawingml/2006/main">
                  <a:graphicData uri="http://schemas.microsoft.com/office/word/2010/wordprocessingShape">
                    <wps:wsp>
                      <wps:cNvSpPr/>
                      <wps:spPr>
                        <a:xfrm>
                          <a:off x="0" y="0"/>
                          <a:ext cx="5739130" cy="2347595"/>
                        </a:xfrm>
                        <a:prstGeom prst="rect">
                          <a:avLst/>
                        </a:prstGeom>
                        <a:noFill/>
                        <a:ln>
                          <a:noFill/>
                        </a:ln>
                      </wps:spPr>
                      <wps:txbx>
                        <w:txbxContent>
                          <w:p w14:paraId="63B455BC" w14:textId="77777777" w:rsidR="005D7A1E" w:rsidRDefault="00000000">
                            <w:pPr>
                              <w:spacing w:line="192" w:lineRule="auto"/>
                              <w:jc w:val="right"/>
                              <w:textDirection w:val="btLr"/>
                            </w:pPr>
                            <w:r>
                              <w:rPr>
                                <w:b/>
                                <w:color w:val="0000A4"/>
                                <w:sz w:val="92"/>
                              </w:rPr>
                              <w:t>Sistema de Gestión de Anexos (GAN) — Transferencia de Conocimiento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D65D059" id="Rectángulo 1836311795" o:spid="_x0000_s1026" style="position:absolute;margin-left:20.7pt;margin-top:316.65pt;width:451.9pt;height:184.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" filled="f" stroked="f">
                <v:textbox inset="2.53958mm,1.2694mm,2.53958mm,1.2694mm">
                  <w:txbxContent>
                    <w:p w14:paraId="63B455BC" w14:textId="77777777" w:rsidR="005D7A1E" w:rsidRDefault="00000000">
                      <w:pPr>
                        <w:spacing w:line="192" w:lineRule="auto"/>
                        <w:jc w:val="right"/>
                        <w:textDirection w:val="btLr"/>
                      </w:pPr>
                      <w:r>
                        <w:rPr>
                          <w:b/>
                          <w:color w:val="0000A4"/>
                          <w:sz w:val="92"/>
                        </w:rPr>
                        <w:t>Sistema de Gestión de Anexos (GAN) — Transferencia de Conocimiento</w:t>
                      </w:r>
                    </w:p>
                  </w:txbxContent>
                </v:textbox>
                <w10:wrap type="square"/>
              </v:rect>
            </w:pict>
          </mc:Fallback>
        </mc:AlternateContent>
      </w:r>
      <w:r>
        <w:rPr>
          <w:noProof/>
        </w:rPr>
        <mc:AlternateContent>
          <mc:Choice Requires="wps">
            <w:drawing>
              <wp:anchor distT="45720" distB="45720" distL="114300" distR="114300" simplePos="0" relativeHeight="251662336" behindDoc="0" locked="0" layoutInCell="1" hidden="0" allowOverlap="1" wp14:anchorId="74F81802" wp14:editId="00E290D5">
                <wp:simplePos x="0" y="0"/>
                <wp:positionH relativeFrom="column">
                  <wp:posOffset>87630</wp:posOffset>
                </wp:positionH>
                <wp:positionV relativeFrom="paragraph">
                  <wp:posOffset>6808470</wp:posOffset>
                </wp:positionV>
                <wp:extent cx="6082665" cy="718820"/>
                <wp:effectExtent l="0" t="0" r="0" b="5080"/>
                <wp:wrapSquare wrapText="bothSides" distT="45720" distB="45720" distL="114300" distR="114300"/>
                <wp:docPr id="1836311796" name="Rectángulo 1836311796"/>
                <wp:cNvGraphicFramePr/>
                <a:graphic xmlns:a="http://schemas.openxmlformats.org/drawingml/2006/main">
                  <a:graphicData uri="http://schemas.microsoft.com/office/word/2010/wordprocessingShape">
                    <wps:wsp>
                      <wps:cNvSpPr/>
                      <wps:spPr>
                        <a:xfrm>
                          <a:off x="0" y="0"/>
                          <a:ext cx="6082665" cy="718820"/>
                        </a:xfrm>
                        <a:prstGeom prst="rect">
                          <a:avLst/>
                        </a:prstGeom>
                        <a:noFill/>
                        <a:ln>
                          <a:noFill/>
                        </a:ln>
                      </wps:spPr>
                      <wps:txbx>
                        <w:txbxContent>
                          <w:p w14:paraId="691D79E4" w14:textId="0378F1F8" w:rsidR="005D7A1E" w:rsidRDefault="00000000">
                            <w:pPr>
                              <w:spacing w:line="275" w:lineRule="auto"/>
                              <w:jc w:val="right"/>
                              <w:textDirection w:val="btLr"/>
                            </w:pPr>
                            <w:r>
                              <w:rPr>
                                <w:rFonts w:ascii="Arial MT" w:eastAsia="Arial MT" w:hAnsi="Arial MT" w:cs="Arial MT"/>
                                <w:color w:val="404040"/>
                                <w:sz w:val="24"/>
                              </w:rPr>
                              <w:t>Frontend</w:t>
                            </w:r>
                            <w:r w:rsidR="00426BF3">
                              <w:rPr>
                                <w:rFonts w:ascii="Arial MT" w:eastAsia="Arial MT" w:hAnsi="Arial MT" w:cs="Arial MT"/>
                                <w:color w:val="404040"/>
                                <w:sz w:val="24"/>
                              </w:rPr>
                              <w:t xml:space="preserve">, </w:t>
                            </w:r>
                            <w:r>
                              <w:rPr>
                                <w:rFonts w:ascii="Arial MT" w:eastAsia="Arial MT" w:hAnsi="Arial MT" w:cs="Arial MT"/>
                                <w:color w:val="404040"/>
                                <w:sz w:val="24"/>
                              </w:rPr>
                              <w:t xml:space="preserve">backend, SSO y esquema bearer-only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4F81802" id="Rectángulo 1836311796" o:spid="_x0000_s1027" style="position:absolute;margin-left:6.9pt;margin-top:536.1pt;width:478.95pt;height:56.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" filled="f" stroked="f">
                <v:textbox inset="2.53958mm,1.2694mm,2.53958mm,1.2694mm">
                  <w:txbxContent>
                    <w:p w14:paraId="691D79E4" w14:textId="0378F1F8" w:rsidR="005D7A1E" w:rsidRDefault="00000000">
                      <w:pPr>
                        <w:spacing w:line="275" w:lineRule="auto"/>
                        <w:jc w:val="right"/>
                        <w:textDirection w:val="btLr"/>
                      </w:pPr>
                      <w:r>
                        <w:rPr>
                          <w:rFonts w:ascii="Arial MT" w:eastAsia="Arial MT" w:hAnsi="Arial MT" w:cs="Arial MT"/>
                          <w:color w:val="404040"/>
                          <w:sz w:val="24"/>
                        </w:rPr>
                        <w:t>Frontend</w:t>
                      </w:r>
                      <w:r w:rsidR="00426BF3">
                        <w:rPr>
                          <w:rFonts w:ascii="Arial MT" w:eastAsia="Arial MT" w:hAnsi="Arial MT" w:cs="Arial MT"/>
                          <w:color w:val="404040"/>
                          <w:sz w:val="24"/>
                        </w:rPr>
                        <w:t xml:space="preserve">, </w:t>
                      </w:r>
                      <w:r>
                        <w:rPr>
                          <w:rFonts w:ascii="Arial MT" w:eastAsia="Arial MT" w:hAnsi="Arial MT" w:cs="Arial MT"/>
                          <w:color w:val="404040"/>
                          <w:sz w:val="24"/>
                        </w:rPr>
                        <w:t xml:space="preserve">backend, SSO y esquema bearer-only </w:t>
                      </w:r>
                    </w:p>
                  </w:txbxContent>
                </v:textbox>
                <w10:wrap type="square"/>
              </v:rect>
            </w:pict>
          </mc:Fallback>
        </mc:AlternateContent>
      </w:r>
      <w:r w:rsidR="00000000">
        <w:br w:type="page"/>
      </w:r>
      <w:r w:rsidR="00000000">
        <w:rPr>
          <w:noProof/>
        </w:rPr>
        <mc:AlternateContent>
          <mc:Choice Requires="wps">
            <w:drawing>
              <wp:anchor distT="0" distB="0" distL="0" distR="0" simplePos="0" relativeHeight="251658240" behindDoc="1" locked="0" layoutInCell="1" hidden="0" allowOverlap="1" wp14:anchorId="28A46937" wp14:editId="46652CDC">
                <wp:simplePos x="0" y="0"/>
                <wp:positionH relativeFrom="column">
                  <wp:posOffset>-914399</wp:posOffset>
                </wp:positionH>
                <wp:positionV relativeFrom="paragraph">
                  <wp:posOffset>9156700</wp:posOffset>
                </wp:positionV>
                <wp:extent cx="7555049" cy="270510"/>
                <wp:effectExtent l="0" t="0" r="0" b="0"/>
                <wp:wrapNone/>
                <wp:docPr id="1836311797" name="Rectángulo 1836311797"/>
                <wp:cNvGraphicFramePr/>
                <a:graphic xmlns:a="http://schemas.openxmlformats.org/drawingml/2006/main">
                  <a:graphicData uri="http://schemas.microsoft.com/office/word/2010/wordprocessingShape">
                    <wps:wsp>
                      <wps:cNvSpPr/>
                      <wps:spPr>
                        <a:xfrm>
                          <a:off x="1573238" y="3649508"/>
                          <a:ext cx="7545524" cy="260985"/>
                        </a:xfrm>
                        <a:prstGeom prst="rect">
                          <a:avLst/>
                        </a:prstGeom>
                        <a:solidFill>
                          <a:srgbClr val="0000A4"/>
                        </a:solidFill>
                        <a:ln>
                          <a:noFill/>
                        </a:ln>
                      </wps:spPr>
                      <wps:txbx>
                        <w:txbxContent>
                          <w:p w14:paraId="70F3A353" w14:textId="77777777" w:rsidR="005D7A1E" w:rsidRDefault="005D7A1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A46937" id="Rectángulo 1836311797" o:spid="_x0000_s1028" style="position:absolute;margin-left:-1in;margin-top:721pt;width:594.9pt;height:21.3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" fillcolor="#0000a4" stroked="f">
                <v:textbox inset="2.53958mm,2.53958mm,2.53958mm,2.53958mm">
                  <w:txbxContent>
                    <w:p w14:paraId="70F3A353" w14:textId="77777777" w:rsidR="005D7A1E" w:rsidRDefault="005D7A1E">
                      <w:pPr>
                        <w:spacing w:line="240" w:lineRule="auto"/>
                        <w:textDirection w:val="btLr"/>
                      </w:pPr>
                    </w:p>
                  </w:txbxContent>
                </v:textbox>
              </v:rect>
            </w:pict>
          </mc:Fallback>
        </mc:AlternateContent>
      </w:r>
      <w:r w:rsidR="00000000">
        <w:rPr>
          <w:noProof/>
        </w:rPr>
        <w:drawing>
          <wp:anchor distT="0" distB="0" distL="114300" distR="114300" simplePos="0" relativeHeight="251659264" behindDoc="0" locked="0" layoutInCell="1" hidden="0" allowOverlap="1" wp14:anchorId="3276D182" wp14:editId="13503D0C">
            <wp:simplePos x="0" y="0"/>
            <wp:positionH relativeFrom="column">
              <wp:posOffset>3632200</wp:posOffset>
            </wp:positionH>
            <wp:positionV relativeFrom="paragraph">
              <wp:posOffset>2792730</wp:posOffset>
            </wp:positionV>
            <wp:extent cx="2175510" cy="1154430"/>
            <wp:effectExtent l="0" t="0" r="0" b="0"/>
            <wp:wrapNone/>
            <wp:docPr id="18363118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175510" cy="1154430"/>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0842C084" wp14:editId="08E13240">
                <wp:simplePos x="0" y="0"/>
                <wp:positionH relativeFrom="column">
                  <wp:posOffset>266700</wp:posOffset>
                </wp:positionH>
                <wp:positionV relativeFrom="paragraph">
                  <wp:posOffset>5994400</wp:posOffset>
                </wp:positionV>
                <wp:extent cx="0" cy="12700"/>
                <wp:effectExtent l="0" t="0" r="0" b="0"/>
                <wp:wrapNone/>
                <wp:docPr id="1836311794" name="Conector recto de flecha 1836311794"/>
                <wp:cNvGraphicFramePr/>
                <a:graphic xmlns:a="http://schemas.openxmlformats.org/drawingml/2006/main">
                  <a:graphicData uri="http://schemas.microsoft.com/office/word/2010/wordprocessingShape">
                    <wps:wsp>
                      <wps:cNvCnPr/>
                      <wps:spPr>
                        <a:xfrm>
                          <a:off x="2516440" y="3780000"/>
                          <a:ext cx="5659120" cy="0"/>
                        </a:xfrm>
                        <a:prstGeom prst="straightConnector1">
                          <a:avLst/>
                        </a:prstGeom>
                        <a:noFill/>
                        <a:ln w="9525" cap="flat" cmpd="sng">
                          <a:solidFill>
                            <a:srgbClr val="0000A4"/>
                          </a:solidFill>
                          <a:prstDash val="solid"/>
                          <a:round/>
                          <a:headEnd type="none" w="sm" len="sm"/>
                          <a:tailEnd type="none" w="sm" len="sm"/>
                        </a:ln>
                      </wps:spPr>
                      <wps:bodyPr/>
                    </wps:wsp>
                  </a:graphicData>
                </a:graphic>
              </wp:anchor>
            </w:drawing>
          </mc:Choice>
          <mc:Fallback>
            <w:pict>
              <v:shapetype w14:anchorId="4A370442" id="_x0000_t32" coordsize="21600,21600" o:spt="32" o:oned="t" path="m,l21600,21600e" filled="f">
                <v:path arrowok="t" fillok="f" o:connecttype="none"/>
                <o:lock v:ext="edit" shapetype="t"/>
              </v:shapetype>
              <v:shape id="Conector recto de flecha 1836311794" o:spid="_x0000_s1026" type="#_x0000_t32" style="position:absolute;margin-left:21pt;margin-top:47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" strokecolor="#0000a4">
                <v:stroke startarrowwidth="narrow" startarrowlength="short" endarrowwidth="narrow" endarrowlength="short"/>
              </v:shape>
            </w:pict>
          </mc:Fallback>
        </mc:AlternateContent>
      </w:r>
      <w:r w:rsidR="00000000">
        <w:rPr>
          <w:noProof/>
        </w:rPr>
        <mc:AlternateContent>
          <mc:Choice Requires="wps">
            <w:drawing>
              <wp:anchor distT="45720" distB="45720" distL="114300" distR="114300" simplePos="0" relativeHeight="251663360" behindDoc="0" locked="0" layoutInCell="1" hidden="0" allowOverlap="1" wp14:anchorId="504E961A" wp14:editId="71E1447A">
                <wp:simplePos x="0" y="0"/>
                <wp:positionH relativeFrom="column">
                  <wp:posOffset>38101</wp:posOffset>
                </wp:positionH>
                <wp:positionV relativeFrom="paragraph">
                  <wp:posOffset>9151620</wp:posOffset>
                </wp:positionV>
                <wp:extent cx="6092190" cy="293925"/>
                <wp:effectExtent l="0" t="0" r="0" b="0"/>
                <wp:wrapNone/>
                <wp:docPr id="1836311793" name="Rectángulo 1836311793"/>
                <wp:cNvGraphicFramePr/>
                <a:graphic xmlns:a="http://schemas.openxmlformats.org/drawingml/2006/main">
                  <a:graphicData uri="http://schemas.microsoft.com/office/word/2010/wordprocessingShape">
                    <wps:wsp>
                      <wps:cNvSpPr/>
                      <wps:spPr>
                        <a:xfrm>
                          <a:off x="2304668" y="3637800"/>
                          <a:ext cx="6082665" cy="284400"/>
                        </a:xfrm>
                        <a:prstGeom prst="rect">
                          <a:avLst/>
                        </a:prstGeom>
                        <a:noFill/>
                        <a:ln>
                          <a:noFill/>
                        </a:ln>
                      </wps:spPr>
                      <wps:txbx>
                        <w:txbxContent>
                          <w:p w14:paraId="08403BCE" w14:textId="77777777" w:rsidR="005D7A1E" w:rsidRDefault="00000000">
                            <w:pPr>
                              <w:spacing w:before="1" w:line="240" w:lineRule="auto"/>
                              <w:ind w:right="168"/>
                              <w:jc w:val="right"/>
                              <w:textDirection w:val="btLr"/>
                            </w:pPr>
                            <w:r>
                              <w:rPr>
                                <w:color w:val="FFFFFF"/>
                                <w:sz w:val="28"/>
                              </w:rPr>
                              <w:t>www.sri.gob.ec</w:t>
                            </w:r>
                          </w:p>
                        </w:txbxContent>
                      </wps:txbx>
                      <wps:bodyPr spcFirstLastPara="1" wrap="square" lIns="91425" tIns="45700" rIns="91425" bIns="45700" anchor="t" anchorCtr="0">
                        <a:noAutofit/>
                      </wps:bodyPr>
                    </wps:wsp>
                  </a:graphicData>
                </a:graphic>
              </wp:anchor>
            </w:drawing>
          </mc:Choice>
          <mc:Fallback>
            <w:pict>
              <v:rect w14:anchorId="504E961A" id="Rectángulo 1836311793" o:spid="_x0000_s1029" style="position:absolute;margin-left:3pt;margin-top:720.6pt;width:479.7pt;height:23.1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" filled="f" stroked="f">
                <v:textbox inset="2.53958mm,1.2694mm,2.53958mm,1.2694mm">
                  <w:txbxContent>
                    <w:p w14:paraId="08403BCE" w14:textId="77777777" w:rsidR="005D7A1E" w:rsidRDefault="00000000">
                      <w:pPr>
                        <w:spacing w:before="1" w:line="240" w:lineRule="auto"/>
                        <w:ind w:right="168"/>
                        <w:jc w:val="right"/>
                        <w:textDirection w:val="btLr"/>
                      </w:pPr>
                      <w:r>
                        <w:rPr>
                          <w:color w:val="FFFFFF"/>
                          <w:sz w:val="28"/>
                        </w:rPr>
                        <w:t>www.sri.gob.ec</w:t>
                      </w:r>
                    </w:p>
                  </w:txbxContent>
                </v:textbox>
              </v:rect>
            </w:pict>
          </mc:Fallback>
        </mc:AlternateContent>
      </w:r>
      <w:r w:rsidR="00000000">
        <w:rPr>
          <w:noProof/>
        </w:rPr>
        <w:drawing>
          <wp:anchor distT="0" distB="0" distL="114300" distR="114300" simplePos="0" relativeHeight="251664384" behindDoc="0" locked="0" layoutInCell="1" hidden="0" allowOverlap="1" wp14:anchorId="6A0CDEC6" wp14:editId="0ACB45D9">
            <wp:simplePos x="0" y="0"/>
            <wp:positionH relativeFrom="column">
              <wp:posOffset>-913871</wp:posOffset>
            </wp:positionH>
            <wp:positionV relativeFrom="paragraph">
              <wp:posOffset>195580</wp:posOffset>
            </wp:positionV>
            <wp:extent cx="3498162" cy="2362756"/>
            <wp:effectExtent l="0" t="0" r="0" b="0"/>
            <wp:wrapNone/>
            <wp:docPr id="18363118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930"/>
                    <a:stretch>
                      <a:fillRect/>
                    </a:stretch>
                  </pic:blipFill>
                  <pic:spPr>
                    <a:xfrm>
                      <a:off x="0" y="0"/>
                      <a:ext cx="3498162" cy="2362756"/>
                    </a:xfrm>
                    <a:prstGeom prst="rect">
                      <a:avLst/>
                    </a:prstGeom>
                    <a:ln/>
                  </pic:spPr>
                </pic:pic>
              </a:graphicData>
            </a:graphic>
          </wp:anchor>
        </w:drawing>
      </w:r>
    </w:p>
    <w:p w14:paraId="412196DE" w14:textId="77777777" w:rsidR="005D7A1E" w:rsidRDefault="005D7A1E">
      <w:pPr>
        <w:pageBreakBefore/>
      </w:pPr>
    </w:p>
    <w:p w14:paraId="40A5A57B" w14:textId="77777777" w:rsidR="005D7A1E" w:rsidRDefault="00000000">
      <w:pPr>
        <w:pBdr>
          <w:top w:val="nil"/>
          <w:left w:val="nil"/>
          <w:bottom w:val="nil"/>
          <w:right w:val="nil"/>
          <w:between w:val="nil"/>
        </w:pBdr>
        <w:spacing w:before="360" w:after="200"/>
      </w:pPr>
      <w:r>
        <w:rPr>
          <w:b/>
          <w:color w:val="0000A4"/>
          <w:sz w:val="44"/>
          <w:szCs w:val="44"/>
        </w:rPr>
        <w:t>1. Introducción y alcance</w:t>
      </w:r>
    </w:p>
    <w:p w14:paraId="2DCA2990" w14:textId="77777777" w:rsidR="005D7A1E" w:rsidRDefault="00000000">
      <w:pPr>
        <w:pBdr>
          <w:top w:val="nil"/>
          <w:left w:val="nil"/>
          <w:bottom w:val="nil"/>
          <w:right w:val="nil"/>
          <w:between w:val="nil"/>
        </w:pBdr>
        <w:spacing w:after="160"/>
        <w:jc w:val="both"/>
      </w:pPr>
      <w:r>
        <w:rPr>
          <w:color w:val="000000"/>
        </w:rPr>
        <w:t>Este documento resume, a nivel conceptual, el funcionamiento del Sistema de Gestión de Anexos (GAN): la aplicación web (frontend), su núcleo ("core"), el módulo de plantillas y aprobación, y cómo se integra con el ecosistema de microservicios backend, el inicio de sesión único (SSO) vía Keycloak y el esquema de clientes bearer-only.</w:t>
      </w:r>
    </w:p>
    <w:p w14:paraId="3FA956E6" w14:textId="77777777" w:rsidR="005D7A1E" w:rsidRDefault="00000000">
      <w:pPr>
        <w:pBdr>
          <w:top w:val="nil"/>
          <w:left w:val="nil"/>
          <w:bottom w:val="nil"/>
          <w:right w:val="nil"/>
          <w:between w:val="nil"/>
        </w:pBdr>
        <w:spacing w:after="160"/>
        <w:jc w:val="both"/>
      </w:pPr>
      <w:r>
        <w:rPr>
          <w:color w:val="000000"/>
        </w:rPr>
        <w:t>El objetivo es que el equipo que asume el mantenimiento del sistema tenga una guía clara del "qué es cada cosa y cómo se conecta", sin necesidad de leer todo el código línea por línea. Para el detalle exacto de clases, métodos o configuraciones puntuales, siempre se debe volver al código fuente como fuente de verdad; este documento es un mapa, no un manual exhaustivo.</w:t>
      </w:r>
    </w:p>
    <w:p w14:paraId="5E778A5F" w14:textId="77777777" w:rsidR="005D7A1E" w:rsidRDefault="00000000">
      <w:pPr>
        <w:pBdr>
          <w:left w:val="single" w:sz="18" w:space="8" w:color="0000A4"/>
        </w:pBdr>
        <w:shd w:val="clear" w:color="auto" w:fill="E9E8F8"/>
        <w:spacing w:before="120" w:after="220"/>
        <w:ind w:left="140"/>
        <w:jc w:val="both"/>
      </w:pPr>
      <w:r>
        <w:rPr>
          <w:b/>
          <w:color w:val="0000A4"/>
          <w:sz w:val="20"/>
          <w:szCs w:val="20"/>
        </w:rPr>
        <w:t xml:space="preserve">Alcance cubierto: </w:t>
      </w:r>
      <w:r>
        <w:rPr>
          <w:color w:val="000000"/>
          <w:sz w:val="20"/>
          <w:szCs w:val="20"/>
        </w:rPr>
        <w:t>Frontend sri-gestion-anexos-web (core, módulo plantilla/aprobación, integración SSO) y los proyectos backend sri-autorizacion-api, sri-anexos-catalogos-service, sri-anexos-estructura-service y sri-anexos-habilitacion-service, incluyendo la comunicación interna entre estos últimos.</w:t>
      </w:r>
    </w:p>
    <w:p w14:paraId="5F7EFD80" w14:textId="77777777" w:rsidR="005D7A1E" w:rsidRDefault="00000000">
      <w:pPr>
        <w:pBdr>
          <w:top w:val="nil"/>
          <w:left w:val="nil"/>
          <w:bottom w:val="nil"/>
          <w:right w:val="nil"/>
          <w:between w:val="nil"/>
        </w:pBdr>
        <w:spacing w:before="360" w:after="200"/>
      </w:pPr>
      <w:r>
        <w:rPr>
          <w:b/>
          <w:color w:val="0000A4"/>
          <w:sz w:val="44"/>
          <w:szCs w:val="44"/>
        </w:rPr>
        <w:t>2. Visión general del sistema</w:t>
      </w:r>
    </w:p>
    <w:p w14:paraId="25CFF2FD" w14:textId="77777777" w:rsidR="005D7A1E" w:rsidRDefault="00000000">
      <w:pPr>
        <w:pBdr>
          <w:top w:val="nil"/>
          <w:left w:val="nil"/>
          <w:bottom w:val="nil"/>
          <w:right w:val="nil"/>
          <w:between w:val="nil"/>
        </w:pBdr>
        <w:spacing w:after="160"/>
        <w:jc w:val="both"/>
      </w:pPr>
      <w:r>
        <w:rPr>
          <w:color w:val="000000"/>
        </w:rPr>
        <w:t>GAN es la aplicación mediante la cual los usuarios diseñan plantillas de anexos/formularios, las someten a un flujo de revisión y aprobación, y las publican para que estén disponibles operativamente. El sistema está compuesto por una única aplicación web (SPA) que conversa con cuatro microservicios backend independientes, todos protegidos mediante autenticación centralizada en Keycloak (SSO Intranet del SRI).</w:t>
      </w:r>
    </w:p>
    <w:p w14:paraId="35A9A56F" w14:textId="77777777" w:rsidR="005D7A1E" w:rsidRDefault="00000000">
      <w:pPr>
        <w:pBdr>
          <w:top w:val="nil"/>
          <w:left w:val="nil"/>
          <w:bottom w:val="nil"/>
          <w:right w:val="nil"/>
          <w:between w:val="nil"/>
        </w:pBdr>
        <w:spacing w:before="260" w:after="140"/>
      </w:pPr>
      <w:r>
        <w:rPr>
          <w:b/>
          <w:color w:val="0000A4"/>
          <w:sz w:val="30"/>
          <w:szCs w:val="30"/>
        </w:rPr>
        <w:t>2.1 Componentes principales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24"/>
        <w:gridCol w:w="1984"/>
        <w:gridCol w:w="4508"/>
      </w:tblGrid>
      <w:tr w:rsidR="005D7A1E" w14:paraId="6D06067D" w14:textId="77777777">
        <w:tc>
          <w:tcPr>
            <w:tcW w:w="1400" w:type="pct"/>
            <w:shd w:val="clear" w:color="auto" w:fill="0000A4"/>
            <w:tcMar>
              <w:top w:w="80" w:type="dxa"/>
              <w:left w:w="120" w:type="dxa"/>
              <w:bottom w:w="80" w:type="dxa"/>
              <w:right w:w="120" w:type="dxa"/>
            </w:tcMar>
          </w:tcPr>
          <w:p w14:paraId="483C5EC7" w14:textId="77777777" w:rsidR="005D7A1E" w:rsidRDefault="00000000">
            <w:pPr>
              <w:spacing w:line="240" w:lineRule="auto"/>
            </w:pPr>
            <w:r>
              <w:rPr>
                <w:b/>
                <w:color w:val="FFFFFF"/>
                <w:sz w:val="19"/>
                <w:szCs w:val="19"/>
              </w:rPr>
              <w:t>Componente</w:t>
            </w:r>
          </w:p>
        </w:tc>
        <w:tc>
          <w:tcPr>
            <w:tcW w:w="1100" w:type="pct"/>
            <w:shd w:val="clear" w:color="auto" w:fill="0000A4"/>
            <w:tcMar>
              <w:top w:w="80" w:type="dxa"/>
              <w:left w:w="120" w:type="dxa"/>
              <w:bottom w:w="80" w:type="dxa"/>
              <w:right w:w="120" w:type="dxa"/>
            </w:tcMar>
          </w:tcPr>
          <w:p w14:paraId="4F0CCEC2" w14:textId="77777777" w:rsidR="005D7A1E" w:rsidRDefault="00000000">
            <w:pPr>
              <w:spacing w:line="240" w:lineRule="auto"/>
            </w:pPr>
            <w:r>
              <w:rPr>
                <w:b/>
                <w:color w:val="FFFFFF"/>
                <w:sz w:val="19"/>
                <w:szCs w:val="19"/>
              </w:rPr>
              <w:t>Tipo</w:t>
            </w:r>
          </w:p>
        </w:tc>
        <w:tc>
          <w:tcPr>
            <w:tcW w:w="2500" w:type="pct"/>
            <w:shd w:val="clear" w:color="auto" w:fill="0000A4"/>
            <w:tcMar>
              <w:top w:w="80" w:type="dxa"/>
              <w:left w:w="120" w:type="dxa"/>
              <w:bottom w:w="80" w:type="dxa"/>
              <w:right w:w="120" w:type="dxa"/>
            </w:tcMar>
          </w:tcPr>
          <w:p w14:paraId="3964D9D8" w14:textId="77777777" w:rsidR="005D7A1E" w:rsidRDefault="00000000">
            <w:pPr>
              <w:spacing w:line="240" w:lineRule="auto"/>
            </w:pPr>
            <w:r>
              <w:rPr>
                <w:b/>
                <w:color w:val="FFFFFF"/>
                <w:sz w:val="19"/>
                <w:szCs w:val="19"/>
              </w:rPr>
              <w:t>Responsabilidad principal</w:t>
            </w:r>
          </w:p>
        </w:tc>
      </w:tr>
      <w:tr w:rsidR="005D7A1E" w14:paraId="5E19D081" w14:textId="77777777">
        <w:tc>
          <w:tcPr>
            <w:tcW w:w="1400" w:type="pct"/>
            <w:tcMar>
              <w:top w:w="80" w:type="dxa"/>
              <w:left w:w="120" w:type="dxa"/>
              <w:bottom w:w="80" w:type="dxa"/>
              <w:right w:w="120" w:type="dxa"/>
            </w:tcMar>
          </w:tcPr>
          <w:p w14:paraId="1B33CD24" w14:textId="77777777" w:rsidR="005D7A1E" w:rsidRDefault="00000000">
            <w:pPr>
              <w:spacing w:line="240" w:lineRule="auto"/>
            </w:pPr>
            <w:r>
              <w:rPr>
                <w:color w:val="202020"/>
                <w:sz w:val="19"/>
                <w:szCs w:val="19"/>
              </w:rPr>
              <w:t>sri-gestion-anexos-web</w:t>
            </w:r>
          </w:p>
        </w:tc>
        <w:tc>
          <w:tcPr>
            <w:tcW w:w="1100" w:type="pct"/>
            <w:tcMar>
              <w:top w:w="80" w:type="dxa"/>
              <w:left w:w="120" w:type="dxa"/>
              <w:bottom w:w="80" w:type="dxa"/>
              <w:right w:w="120" w:type="dxa"/>
            </w:tcMar>
          </w:tcPr>
          <w:p w14:paraId="2D51AEED" w14:textId="77777777" w:rsidR="005D7A1E" w:rsidRDefault="00000000">
            <w:pPr>
              <w:spacing w:line="240" w:lineRule="auto"/>
            </w:pPr>
            <w:r>
              <w:rPr>
                <w:color w:val="202020"/>
                <w:sz w:val="19"/>
                <w:szCs w:val="19"/>
              </w:rPr>
              <w:t>Frontend (Vue 3 SPA)</w:t>
            </w:r>
          </w:p>
        </w:tc>
        <w:tc>
          <w:tcPr>
            <w:tcW w:w="2500" w:type="pct"/>
            <w:tcMar>
              <w:top w:w="80" w:type="dxa"/>
              <w:left w:w="120" w:type="dxa"/>
              <w:bottom w:w="80" w:type="dxa"/>
              <w:right w:w="120" w:type="dxa"/>
            </w:tcMar>
          </w:tcPr>
          <w:p w14:paraId="31B09390" w14:textId="77777777" w:rsidR="005D7A1E" w:rsidRDefault="00000000">
            <w:pPr>
              <w:spacing w:line="240" w:lineRule="auto"/>
            </w:pPr>
            <w:r>
              <w:rPr>
                <w:color w:val="202020"/>
                <w:sz w:val="19"/>
                <w:szCs w:val="19"/>
              </w:rPr>
              <w:t>Interfaz de usuario: diseño de plantillas, flujo de aprobación, catálogos, autorización visual</w:t>
            </w:r>
          </w:p>
        </w:tc>
      </w:tr>
      <w:tr w:rsidR="005D7A1E" w14:paraId="1D99DBAA" w14:textId="77777777">
        <w:tc>
          <w:tcPr>
            <w:tcW w:w="1400" w:type="pct"/>
            <w:tcMar>
              <w:top w:w="80" w:type="dxa"/>
              <w:left w:w="120" w:type="dxa"/>
              <w:bottom w:w="80" w:type="dxa"/>
              <w:right w:w="120" w:type="dxa"/>
            </w:tcMar>
          </w:tcPr>
          <w:p w14:paraId="1F60D2DC" w14:textId="77777777" w:rsidR="005D7A1E" w:rsidRDefault="00000000">
            <w:pPr>
              <w:spacing w:line="240" w:lineRule="auto"/>
            </w:pPr>
            <w:r>
              <w:rPr>
                <w:color w:val="202020"/>
                <w:sz w:val="19"/>
                <w:szCs w:val="19"/>
              </w:rPr>
              <w:t>sri-autorizacion-api</w:t>
            </w:r>
          </w:p>
        </w:tc>
        <w:tc>
          <w:tcPr>
            <w:tcW w:w="1100" w:type="pct"/>
            <w:tcMar>
              <w:top w:w="80" w:type="dxa"/>
              <w:left w:w="120" w:type="dxa"/>
              <w:bottom w:w="80" w:type="dxa"/>
              <w:right w:w="120" w:type="dxa"/>
            </w:tcMar>
          </w:tcPr>
          <w:p w14:paraId="60860E46" w14:textId="77777777" w:rsidR="005D7A1E" w:rsidRDefault="00000000">
            <w:pPr>
              <w:spacing w:line="240" w:lineRule="auto"/>
            </w:pPr>
            <w:r>
              <w:rPr>
                <w:color w:val="202020"/>
                <w:sz w:val="19"/>
                <w:szCs w:val="19"/>
              </w:rPr>
              <w:t>Backend (Quarkus)</w:t>
            </w:r>
          </w:p>
        </w:tc>
        <w:tc>
          <w:tcPr>
            <w:tcW w:w="2500" w:type="pct"/>
            <w:tcMar>
              <w:top w:w="80" w:type="dxa"/>
              <w:left w:w="120" w:type="dxa"/>
              <w:bottom w:w="80" w:type="dxa"/>
              <w:right w:w="120" w:type="dxa"/>
            </w:tcMar>
          </w:tcPr>
          <w:p w14:paraId="11DE70CB" w14:textId="77777777" w:rsidR="005D7A1E" w:rsidRDefault="00000000">
            <w:pPr>
              <w:spacing w:line="240" w:lineRule="auto"/>
            </w:pPr>
            <w:r>
              <w:rPr>
                <w:color w:val="202020"/>
                <w:sz w:val="19"/>
                <w:szCs w:val="19"/>
              </w:rPr>
              <w:t>Autorización de accesos: qué perfiles/módulos/menús puede ver cada usuario</w:t>
            </w:r>
          </w:p>
        </w:tc>
      </w:tr>
      <w:tr w:rsidR="005D7A1E" w14:paraId="5532127C" w14:textId="77777777">
        <w:tc>
          <w:tcPr>
            <w:tcW w:w="1400" w:type="pct"/>
            <w:tcMar>
              <w:top w:w="80" w:type="dxa"/>
              <w:left w:w="120" w:type="dxa"/>
              <w:bottom w:w="80" w:type="dxa"/>
              <w:right w:w="120" w:type="dxa"/>
            </w:tcMar>
          </w:tcPr>
          <w:p w14:paraId="328CB9E9" w14:textId="77777777" w:rsidR="005D7A1E" w:rsidRDefault="00000000">
            <w:pPr>
              <w:spacing w:line="240" w:lineRule="auto"/>
            </w:pPr>
            <w:r>
              <w:rPr>
                <w:color w:val="202020"/>
                <w:sz w:val="19"/>
                <w:szCs w:val="19"/>
              </w:rPr>
              <w:t>sri-anexos-catalogos-service</w:t>
            </w:r>
          </w:p>
        </w:tc>
        <w:tc>
          <w:tcPr>
            <w:tcW w:w="1100" w:type="pct"/>
            <w:tcMar>
              <w:top w:w="80" w:type="dxa"/>
              <w:left w:w="120" w:type="dxa"/>
              <w:bottom w:w="80" w:type="dxa"/>
              <w:right w:w="120" w:type="dxa"/>
            </w:tcMar>
          </w:tcPr>
          <w:p w14:paraId="5BC4FF7A" w14:textId="77777777" w:rsidR="005D7A1E" w:rsidRDefault="00000000">
            <w:pPr>
              <w:spacing w:line="240" w:lineRule="auto"/>
            </w:pPr>
            <w:r>
              <w:rPr>
                <w:color w:val="202020"/>
                <w:sz w:val="19"/>
                <w:szCs w:val="19"/>
              </w:rPr>
              <w:t>Backend (Quarkus)</w:t>
            </w:r>
          </w:p>
        </w:tc>
        <w:tc>
          <w:tcPr>
            <w:tcW w:w="2500" w:type="pct"/>
            <w:tcMar>
              <w:top w:w="80" w:type="dxa"/>
              <w:left w:w="120" w:type="dxa"/>
              <w:bottom w:w="80" w:type="dxa"/>
              <w:right w:w="120" w:type="dxa"/>
            </w:tcMar>
          </w:tcPr>
          <w:p w14:paraId="2F89D160" w14:textId="77777777" w:rsidR="005D7A1E" w:rsidRDefault="00000000">
            <w:pPr>
              <w:spacing w:line="240" w:lineRule="auto"/>
            </w:pPr>
            <w:r>
              <w:rPr>
                <w:color w:val="202020"/>
                <w:sz w:val="19"/>
                <w:szCs w:val="19"/>
              </w:rPr>
              <w:t>Catálogos del sistema: catálogos y detalles, operativos, usuarios-anexo, campos de información, mensajes</w:t>
            </w:r>
          </w:p>
        </w:tc>
      </w:tr>
      <w:tr w:rsidR="005D7A1E" w14:paraId="10AF11A9" w14:textId="77777777">
        <w:tc>
          <w:tcPr>
            <w:tcW w:w="1400" w:type="pct"/>
            <w:tcMar>
              <w:top w:w="80" w:type="dxa"/>
              <w:left w:w="120" w:type="dxa"/>
              <w:bottom w:w="80" w:type="dxa"/>
              <w:right w:w="120" w:type="dxa"/>
            </w:tcMar>
          </w:tcPr>
          <w:p w14:paraId="7CFC0B3D" w14:textId="77777777" w:rsidR="005D7A1E" w:rsidRDefault="00000000">
            <w:pPr>
              <w:spacing w:line="240" w:lineRule="auto"/>
            </w:pPr>
            <w:r>
              <w:rPr>
                <w:color w:val="202020"/>
                <w:sz w:val="19"/>
                <w:szCs w:val="19"/>
              </w:rPr>
              <w:t>sri-anexos-estructura-service</w:t>
            </w:r>
          </w:p>
        </w:tc>
        <w:tc>
          <w:tcPr>
            <w:tcW w:w="1100" w:type="pct"/>
            <w:tcMar>
              <w:top w:w="80" w:type="dxa"/>
              <w:left w:w="120" w:type="dxa"/>
              <w:bottom w:w="80" w:type="dxa"/>
              <w:right w:w="120" w:type="dxa"/>
            </w:tcMar>
          </w:tcPr>
          <w:p w14:paraId="6C482E73" w14:textId="77777777" w:rsidR="005D7A1E" w:rsidRDefault="00000000">
            <w:pPr>
              <w:spacing w:line="240" w:lineRule="auto"/>
            </w:pPr>
            <w:r>
              <w:rPr>
                <w:color w:val="202020"/>
                <w:sz w:val="19"/>
                <w:szCs w:val="19"/>
              </w:rPr>
              <w:t>Backend (Quarkus)</w:t>
            </w:r>
          </w:p>
        </w:tc>
        <w:tc>
          <w:tcPr>
            <w:tcW w:w="2500" w:type="pct"/>
            <w:tcMar>
              <w:top w:w="80" w:type="dxa"/>
              <w:left w:w="120" w:type="dxa"/>
              <w:bottom w:w="80" w:type="dxa"/>
              <w:right w:w="120" w:type="dxa"/>
            </w:tcMar>
          </w:tcPr>
          <w:p w14:paraId="282AE565" w14:textId="77777777" w:rsidR="005D7A1E" w:rsidRDefault="00000000">
            <w:pPr>
              <w:spacing w:line="240" w:lineRule="auto"/>
            </w:pPr>
            <w:r>
              <w:rPr>
                <w:color w:val="202020"/>
                <w:sz w:val="19"/>
                <w:szCs w:val="19"/>
              </w:rPr>
              <w:t>CRUD y datos de la plantilla del anexo ("estructura" del formulario)</w:t>
            </w:r>
          </w:p>
        </w:tc>
      </w:tr>
      <w:tr w:rsidR="005D7A1E" w14:paraId="4DF13D76" w14:textId="77777777">
        <w:tc>
          <w:tcPr>
            <w:tcW w:w="1400" w:type="pct"/>
            <w:tcMar>
              <w:top w:w="80" w:type="dxa"/>
              <w:left w:w="120" w:type="dxa"/>
              <w:bottom w:w="80" w:type="dxa"/>
              <w:right w:w="120" w:type="dxa"/>
            </w:tcMar>
          </w:tcPr>
          <w:p w14:paraId="27453C30" w14:textId="77777777" w:rsidR="005D7A1E" w:rsidRDefault="00000000">
            <w:pPr>
              <w:spacing w:line="240" w:lineRule="auto"/>
            </w:pPr>
            <w:r>
              <w:rPr>
                <w:color w:val="202020"/>
                <w:sz w:val="19"/>
                <w:szCs w:val="19"/>
              </w:rPr>
              <w:t>sri-anexos-habilitacion-service</w:t>
            </w:r>
          </w:p>
        </w:tc>
        <w:tc>
          <w:tcPr>
            <w:tcW w:w="1100" w:type="pct"/>
            <w:tcMar>
              <w:top w:w="80" w:type="dxa"/>
              <w:left w:w="120" w:type="dxa"/>
              <w:bottom w:w="80" w:type="dxa"/>
              <w:right w:w="120" w:type="dxa"/>
            </w:tcMar>
          </w:tcPr>
          <w:p w14:paraId="2622D555" w14:textId="77777777" w:rsidR="005D7A1E" w:rsidRDefault="00000000">
            <w:pPr>
              <w:spacing w:line="240" w:lineRule="auto"/>
            </w:pPr>
            <w:r>
              <w:rPr>
                <w:color w:val="202020"/>
                <w:sz w:val="19"/>
                <w:szCs w:val="19"/>
              </w:rPr>
              <w:t>Backend (Quarkus)</w:t>
            </w:r>
          </w:p>
        </w:tc>
        <w:tc>
          <w:tcPr>
            <w:tcW w:w="2500" w:type="pct"/>
            <w:tcMar>
              <w:top w:w="80" w:type="dxa"/>
              <w:left w:w="120" w:type="dxa"/>
              <w:bottom w:w="80" w:type="dxa"/>
              <w:right w:w="120" w:type="dxa"/>
            </w:tcMar>
          </w:tcPr>
          <w:p w14:paraId="215ED3D4" w14:textId="77777777" w:rsidR="005D7A1E" w:rsidRDefault="00000000">
            <w:pPr>
              <w:spacing w:line="240" w:lineRule="auto"/>
            </w:pPr>
            <w:r>
              <w:rPr>
                <w:color w:val="202020"/>
                <w:sz w:val="19"/>
                <w:szCs w:val="19"/>
              </w:rPr>
              <w:t>Motor de transiciones de estado: solicitar revisión, aprobar, rechazar, publicar</w:t>
            </w:r>
          </w:p>
        </w:tc>
      </w:tr>
      <w:tr w:rsidR="005D7A1E" w14:paraId="1FEB3A2A" w14:textId="77777777">
        <w:tc>
          <w:tcPr>
            <w:tcW w:w="1400" w:type="pct"/>
            <w:tcMar>
              <w:top w:w="80" w:type="dxa"/>
              <w:left w:w="120" w:type="dxa"/>
              <w:bottom w:w="80" w:type="dxa"/>
              <w:right w:w="120" w:type="dxa"/>
            </w:tcMar>
          </w:tcPr>
          <w:p w14:paraId="3ACFC2B7" w14:textId="77777777" w:rsidR="005D7A1E" w:rsidRDefault="00000000">
            <w:pPr>
              <w:spacing w:line="240" w:lineRule="auto"/>
            </w:pPr>
            <w:r>
              <w:rPr>
                <w:color w:val="202020"/>
                <w:sz w:val="19"/>
                <w:szCs w:val="19"/>
              </w:rPr>
              <w:t>Keycloak (realm Intranet)</w:t>
            </w:r>
          </w:p>
        </w:tc>
        <w:tc>
          <w:tcPr>
            <w:tcW w:w="1100" w:type="pct"/>
            <w:tcMar>
              <w:top w:w="80" w:type="dxa"/>
              <w:left w:w="120" w:type="dxa"/>
              <w:bottom w:w="80" w:type="dxa"/>
              <w:right w:w="120" w:type="dxa"/>
            </w:tcMar>
          </w:tcPr>
          <w:p w14:paraId="4F6DC111" w14:textId="77777777" w:rsidR="005D7A1E" w:rsidRDefault="00000000">
            <w:pPr>
              <w:spacing w:line="240" w:lineRule="auto"/>
            </w:pPr>
            <w:r>
              <w:rPr>
                <w:color w:val="202020"/>
                <w:sz w:val="19"/>
                <w:szCs w:val="19"/>
              </w:rPr>
              <w:t>SSO / Identity Provider</w:t>
            </w:r>
          </w:p>
        </w:tc>
        <w:tc>
          <w:tcPr>
            <w:tcW w:w="2500" w:type="pct"/>
            <w:tcMar>
              <w:top w:w="80" w:type="dxa"/>
              <w:left w:w="120" w:type="dxa"/>
              <w:bottom w:w="80" w:type="dxa"/>
              <w:right w:w="120" w:type="dxa"/>
            </w:tcMar>
          </w:tcPr>
          <w:p w14:paraId="40949A2B" w14:textId="77777777" w:rsidR="005D7A1E" w:rsidRDefault="00000000">
            <w:pPr>
              <w:spacing w:line="240" w:lineRule="auto"/>
            </w:pPr>
            <w:r>
              <w:rPr>
                <w:color w:val="202020"/>
                <w:sz w:val="19"/>
                <w:szCs w:val="19"/>
              </w:rPr>
              <w:t>Autenticación centralizada, emisión de tokens JWT</w:t>
            </w:r>
          </w:p>
        </w:tc>
      </w:tr>
    </w:tbl>
    <w:p w14:paraId="1E232F3B" w14:textId="77777777" w:rsidR="005D7A1E" w:rsidRDefault="005D7A1E">
      <w:pPr>
        <w:spacing w:after="160"/>
      </w:pPr>
    </w:p>
    <w:p w14:paraId="5CEDD5FB" w14:textId="77777777" w:rsidR="005D7A1E" w:rsidRDefault="00000000">
      <w:pPr>
        <w:pBdr>
          <w:top w:val="nil"/>
          <w:left w:val="nil"/>
          <w:bottom w:val="nil"/>
          <w:right w:val="nil"/>
          <w:between w:val="nil"/>
        </w:pBdr>
        <w:spacing w:before="360" w:after="200"/>
      </w:pPr>
      <w:r>
        <w:rPr>
          <w:b/>
          <w:color w:val="0000A4"/>
          <w:sz w:val="44"/>
          <w:szCs w:val="44"/>
        </w:rPr>
        <w:lastRenderedPageBreak/>
        <w:t>3. Arquitectura general del ecosistema</w:t>
      </w:r>
    </w:p>
    <w:p w14:paraId="2B36F1CD" w14:textId="77777777" w:rsidR="005D7A1E" w:rsidRDefault="00000000">
      <w:pPr>
        <w:pBdr>
          <w:top w:val="nil"/>
          <w:left w:val="nil"/>
          <w:bottom w:val="nil"/>
          <w:right w:val="nil"/>
          <w:between w:val="nil"/>
        </w:pBdr>
        <w:spacing w:after="160"/>
        <w:jc w:val="both"/>
      </w:pPr>
      <w:r>
        <w:rPr>
          <w:color w:val="000000"/>
        </w:rPr>
        <w:t>Todos los backends de este ecosistema comparten el mismo patrón arquitectónico. Esto no es una coincidencia: los cuatro microservicios de negocio (autorización, catálogos, estructura, habilitación) fueron construidos siguiendo la misma plantilla base. Para explicar el patrón se usa como referencia sri-anexos-estructura-service, cuyo código fuente se revisó directamente para esta sección.</w:t>
      </w:r>
    </w:p>
    <w:p w14:paraId="75E7035C" w14:textId="77777777" w:rsidR="005D7A1E" w:rsidRDefault="00000000">
      <w:pPr>
        <w:pBdr>
          <w:top w:val="nil"/>
          <w:left w:val="nil"/>
          <w:bottom w:val="nil"/>
          <w:right w:val="nil"/>
          <w:between w:val="nil"/>
        </w:pBdr>
        <w:spacing w:before="260" w:after="140"/>
      </w:pPr>
      <w:r>
        <w:rPr>
          <w:b/>
          <w:color w:val="0000A4"/>
          <w:sz w:val="30"/>
          <w:szCs w:val="30"/>
        </w:rPr>
        <w:t>3.1 Patrón arquitectónico de los backends</w:t>
      </w:r>
    </w:p>
    <w:p w14:paraId="3A78E1F9" w14:textId="77777777" w:rsidR="005D7A1E" w:rsidRDefault="00000000">
      <w:pPr>
        <w:pBdr>
          <w:top w:val="nil"/>
          <w:left w:val="nil"/>
          <w:bottom w:val="nil"/>
          <w:right w:val="nil"/>
          <w:between w:val="nil"/>
        </w:pBdr>
        <w:spacing w:after="100"/>
        <w:ind w:left="360"/>
        <w:jc w:val="both"/>
      </w:pPr>
      <w:r>
        <w:rPr>
          <w:b/>
          <w:color w:val="0000A4"/>
          <w:sz w:val="21"/>
          <w:szCs w:val="21"/>
        </w:rPr>
        <w:t xml:space="preserve">•  Enfoque: </w:t>
      </w:r>
      <w:r>
        <w:rPr>
          <w:color w:val="000000"/>
          <w:sz w:val="21"/>
          <w:szCs w:val="21"/>
        </w:rPr>
        <w:t>Arquitectura Hexagonal (Puertos y Adaptadores) combinada con Clean Architecture y principios de Domain-Driven Design (DDD).</w:t>
      </w:r>
    </w:p>
    <w:p w14:paraId="4A81E98B" w14:textId="4FCCD904" w:rsidR="005D7A1E" w:rsidRDefault="00000000">
      <w:pPr>
        <w:pBdr>
          <w:top w:val="nil"/>
          <w:left w:val="nil"/>
          <w:bottom w:val="nil"/>
          <w:right w:val="nil"/>
          <w:between w:val="nil"/>
        </w:pBdr>
        <w:spacing w:after="100"/>
        <w:ind w:left="360"/>
        <w:jc w:val="both"/>
      </w:pPr>
      <w:r>
        <w:rPr>
          <w:b/>
          <w:color w:val="0000A4"/>
          <w:sz w:val="21"/>
          <w:szCs w:val="21"/>
        </w:rPr>
        <w:t xml:space="preserve">•  Stack: </w:t>
      </w:r>
      <w:r>
        <w:rPr>
          <w:color w:val="000000"/>
          <w:sz w:val="21"/>
          <w:szCs w:val="21"/>
        </w:rPr>
        <w:t xml:space="preserve">Quarkus </w:t>
      </w:r>
      <w:r w:rsidR="00426BF3" w:rsidRPr="00426BF3">
        <w:rPr>
          <w:color w:val="000000"/>
          <w:sz w:val="21"/>
          <w:szCs w:val="21"/>
        </w:rPr>
        <w:t>3.36.1</w:t>
      </w:r>
      <w:r>
        <w:rPr>
          <w:color w:val="000000"/>
          <w:sz w:val="21"/>
          <w:szCs w:val="21"/>
        </w:rPr>
        <w:t xml:space="preserve"> sobre Java 21, con persistencia reactiva (Hibernate Reactive Panache + Mutiny) contra base de datos Oracle.</w:t>
      </w:r>
    </w:p>
    <w:p w14:paraId="74E95C66" w14:textId="77777777" w:rsidR="005D7A1E" w:rsidRDefault="00000000">
      <w:pPr>
        <w:pBdr>
          <w:top w:val="nil"/>
          <w:left w:val="nil"/>
          <w:bottom w:val="nil"/>
          <w:right w:val="nil"/>
          <w:between w:val="nil"/>
        </w:pBdr>
        <w:spacing w:after="100"/>
        <w:ind w:left="360"/>
        <w:jc w:val="both"/>
      </w:pPr>
      <w:r>
        <w:rPr>
          <w:b/>
          <w:color w:val="0000A4"/>
          <w:sz w:val="21"/>
          <w:szCs w:val="21"/>
        </w:rPr>
        <w:t xml:space="preserve">•  Capa infraestructura: </w:t>
      </w:r>
      <w:r>
        <w:rPr>
          <w:color w:val="000000"/>
          <w:sz w:val="21"/>
          <w:szCs w:val="21"/>
        </w:rPr>
        <w:t>infrastructure/rest — endpoints REST (JAX-RS), documentados con OpenAPI/Swagger y protegidos con OIDC (@Authenticated).</w:t>
      </w:r>
    </w:p>
    <w:p w14:paraId="378AAC44" w14:textId="77777777" w:rsidR="005D7A1E" w:rsidRDefault="00000000">
      <w:pPr>
        <w:pBdr>
          <w:top w:val="nil"/>
          <w:left w:val="nil"/>
          <w:bottom w:val="nil"/>
          <w:right w:val="nil"/>
          <w:between w:val="nil"/>
        </w:pBdr>
        <w:spacing w:after="100"/>
        <w:ind w:left="720"/>
        <w:jc w:val="both"/>
      </w:pPr>
      <w:r>
        <w:rPr>
          <w:b/>
          <w:color w:val="0000A4"/>
          <w:sz w:val="21"/>
          <w:szCs w:val="21"/>
        </w:rPr>
        <w:t xml:space="preserve">•  </w:t>
      </w:r>
      <w:r>
        <w:rPr>
          <w:color w:val="000000"/>
          <w:sz w:val="21"/>
          <w:szCs w:val="21"/>
        </w:rPr>
        <w:t>infrastructure/persistence — entidades JPA y la implementación del repositorio (adaptador) hacia Oracle.</w:t>
      </w:r>
    </w:p>
    <w:p w14:paraId="5DFF863E" w14:textId="77777777" w:rsidR="005D7A1E" w:rsidRDefault="00000000">
      <w:pPr>
        <w:pBdr>
          <w:top w:val="nil"/>
          <w:left w:val="nil"/>
          <w:bottom w:val="nil"/>
          <w:right w:val="nil"/>
          <w:between w:val="nil"/>
        </w:pBdr>
        <w:spacing w:after="100"/>
        <w:ind w:left="720"/>
        <w:jc w:val="both"/>
      </w:pPr>
      <w:r>
        <w:rPr>
          <w:b/>
          <w:color w:val="0000A4"/>
          <w:sz w:val="21"/>
          <w:szCs w:val="21"/>
        </w:rPr>
        <w:t xml:space="preserve">•  </w:t>
      </w:r>
      <w:r>
        <w:rPr>
          <w:color w:val="000000"/>
          <w:sz w:val="21"/>
          <w:szCs w:val="21"/>
        </w:rPr>
        <w:t>infrastructure/remote — clientes REST (MicroProfile Rest Client) hacia otros microservicios, con su propio servicio de infraestructura que agrega reintentos, circuit breaker y fallback. Ver sección 6.</w:t>
      </w:r>
    </w:p>
    <w:p w14:paraId="2ECDD4B0" w14:textId="77777777" w:rsidR="005D7A1E" w:rsidRDefault="00000000">
      <w:pPr>
        <w:pBdr>
          <w:top w:val="nil"/>
          <w:left w:val="nil"/>
          <w:bottom w:val="nil"/>
          <w:right w:val="nil"/>
          <w:between w:val="nil"/>
        </w:pBdr>
        <w:spacing w:after="100"/>
        <w:ind w:left="720"/>
        <w:jc w:val="both"/>
      </w:pPr>
      <w:r>
        <w:rPr>
          <w:b/>
          <w:color w:val="0000A4"/>
          <w:sz w:val="21"/>
          <w:szCs w:val="21"/>
        </w:rPr>
        <w:t xml:space="preserve">•  </w:t>
      </w:r>
      <w:r>
        <w:rPr>
          <w:color w:val="000000"/>
          <w:sz w:val="21"/>
          <w:szCs w:val="21"/>
        </w:rPr>
        <w:t>infrastructure/filter y infrastructure/security — filtros transversales (ej. protección XSS) y utilidades de validación del JWT.</w:t>
      </w:r>
    </w:p>
    <w:p w14:paraId="29652773" w14:textId="77777777" w:rsidR="005D7A1E" w:rsidRDefault="00000000">
      <w:pPr>
        <w:pBdr>
          <w:top w:val="nil"/>
          <w:left w:val="nil"/>
          <w:bottom w:val="nil"/>
          <w:right w:val="nil"/>
          <w:between w:val="nil"/>
        </w:pBdr>
        <w:spacing w:after="100"/>
        <w:ind w:left="360"/>
        <w:jc w:val="both"/>
      </w:pPr>
      <w:r>
        <w:rPr>
          <w:b/>
          <w:color w:val="0000A4"/>
          <w:sz w:val="21"/>
          <w:szCs w:val="21"/>
        </w:rPr>
        <w:t xml:space="preserve">•  Capa aplicación: </w:t>
      </w:r>
      <w:r>
        <w:rPr>
          <w:color w:val="000000"/>
          <w:sz w:val="21"/>
          <w:szCs w:val="21"/>
        </w:rPr>
        <w:t>application/service — orquesta los casos de uso (sin lógica de negocio propia); application/dto — objetos de entrada/salida de la API.</w:t>
      </w:r>
    </w:p>
    <w:p w14:paraId="28A73381" w14:textId="77777777" w:rsidR="005D7A1E" w:rsidRDefault="00000000">
      <w:pPr>
        <w:pBdr>
          <w:top w:val="nil"/>
          <w:left w:val="nil"/>
          <w:bottom w:val="nil"/>
          <w:right w:val="nil"/>
          <w:between w:val="nil"/>
        </w:pBdr>
        <w:spacing w:after="100"/>
        <w:ind w:left="360"/>
        <w:jc w:val="both"/>
      </w:pPr>
      <w:r>
        <w:rPr>
          <w:b/>
          <w:color w:val="0000A4"/>
          <w:sz w:val="21"/>
          <w:szCs w:val="21"/>
        </w:rPr>
        <w:t xml:space="preserve">•  Capa dominio: </w:t>
      </w:r>
      <w:r>
        <w:rPr>
          <w:color w:val="000000"/>
          <w:sz w:val="21"/>
          <w:szCs w:val="21"/>
        </w:rPr>
        <w:t>domain/model — el agregado raíz y sus value objects; domain/repository — el "puerto" (interfaz) que la infraestructura implementa; domain/service — reglas de negocio.</w:t>
      </w:r>
    </w:p>
    <w:p w14:paraId="316FB5B4" w14:textId="77777777" w:rsidR="005D7A1E" w:rsidRDefault="00000000">
      <w:pPr>
        <w:pBdr>
          <w:top w:val="nil"/>
          <w:left w:val="nil"/>
          <w:bottom w:val="nil"/>
          <w:right w:val="nil"/>
          <w:between w:val="nil"/>
        </w:pBdr>
        <w:spacing w:after="100"/>
        <w:ind w:left="360"/>
        <w:jc w:val="both"/>
      </w:pPr>
      <w:r>
        <w:rPr>
          <w:b/>
          <w:color w:val="0000A4"/>
          <w:sz w:val="21"/>
          <w:szCs w:val="21"/>
        </w:rPr>
        <w:t xml:space="preserve">•  Transversal: </w:t>
      </w:r>
      <w:r>
        <w:rPr>
          <w:color w:val="000000"/>
          <w:sz w:val="21"/>
          <w:szCs w:val="21"/>
        </w:rPr>
        <w:t>shared/exception y shared/error — excepciones de negocio y manejo centralizado de errores HTTP; shared/requests, shared/responses, shared/utils, shared/constant — utilidades comunes (paginación, respuestas, ejemplos de OpenAPI).</w:t>
      </w:r>
    </w:p>
    <w:p w14:paraId="259A8C10" w14:textId="77777777" w:rsidR="005D7A1E" w:rsidRDefault="00000000">
      <w:pPr>
        <w:pBdr>
          <w:top w:val="nil"/>
          <w:left w:val="nil"/>
          <w:bottom w:val="nil"/>
          <w:right w:val="nil"/>
          <w:between w:val="nil"/>
        </w:pBdr>
        <w:spacing w:before="260" w:after="140"/>
      </w:pPr>
      <w:r>
        <w:rPr>
          <w:b/>
          <w:color w:val="0000A4"/>
          <w:sz w:val="30"/>
          <w:szCs w:val="30"/>
        </w:rPr>
        <w:t>3.2 Flujo típico de una petición</w:t>
      </w:r>
    </w:p>
    <w:p w14:paraId="34FC1B34" w14:textId="77777777" w:rsidR="005D7A1E" w:rsidRDefault="00000000">
      <w:pPr>
        <w:pBdr>
          <w:top w:val="nil"/>
          <w:left w:val="nil"/>
          <w:bottom w:val="nil"/>
          <w:right w:val="nil"/>
          <w:between w:val="nil"/>
        </w:pBdr>
        <w:spacing w:after="160"/>
        <w:jc w:val="both"/>
      </w:pPr>
      <w:r>
        <w:rPr>
          <w:color w:val="000000"/>
        </w:rPr>
        <w:t>Cliente (frontend u otro microservicio) → filtro de seguridad/XSS → recurso REST (valida la entrada) → servicio de aplicación (traduce DTO a dominio) → repositorio de dominio (puerto) → implementación del repositorio (adaptador, con transacción) → base de datos Oracle → el resultado se traduce de vuelta hacia la respuesta HTTP.</w:t>
      </w:r>
    </w:p>
    <w:p w14:paraId="46AC681E" w14:textId="77777777" w:rsidR="005D7A1E" w:rsidRDefault="00000000">
      <w:pPr>
        <w:pBdr>
          <w:top w:val="nil"/>
          <w:left w:val="nil"/>
          <w:bottom w:val="nil"/>
          <w:right w:val="nil"/>
          <w:between w:val="nil"/>
        </w:pBdr>
        <w:spacing w:before="260" w:after="140"/>
      </w:pPr>
      <w:r>
        <w:rPr>
          <w:b/>
          <w:color w:val="0000A4"/>
          <w:sz w:val="30"/>
          <w:szCs w:val="30"/>
        </w:rPr>
        <w:t>3.3 Diagrama conceptual</w:t>
      </w:r>
    </w:p>
    <w:p w14:paraId="5F2312A6" w14:textId="4CE6AE68" w:rsidR="005D7A1E" w:rsidRDefault="00000000">
      <w:pPr>
        <w:shd w:val="clear" w:color="auto" w:fill="F2F2F2"/>
        <w:spacing w:after="160" w:line="240" w:lineRule="auto"/>
        <w:ind w:left="120"/>
      </w:pPr>
      <w:r>
        <w:rPr>
          <w:rFonts w:ascii="Consolas" w:hAnsi="Consolas" w:cs="Consolas"/>
          <w:color w:val="333333"/>
          <w:sz w:val="18"/>
        </w:rPr>
        <w:t xml:space="preserve">Frontend (SPA Vue) ---&gt; sri-autorizacion-api    (perfiles / modulos / menus)   </w:t>
      </w:r>
      <w:r w:rsidR="00426BF3">
        <w:rPr>
          <w:rFonts w:ascii="Consolas" w:hAnsi="Consolas" w:cs="Consolas"/>
          <w:color w:val="333333"/>
          <w:sz w:val="18"/>
        </w:rPr>
        <w:tab/>
      </w:r>
      <w:r>
        <w:rPr>
          <w:rFonts w:ascii="Consolas" w:hAnsi="Consolas" w:cs="Consolas"/>
          <w:color w:val="333333"/>
          <w:sz w:val="18"/>
        </w:rPr>
        <w:t xml:space="preserve"> Keycloak (SSO)</w:t>
      </w:r>
      <w:r w:rsidR="00426BF3">
        <w:rPr>
          <w:rFonts w:ascii="Consolas" w:hAnsi="Consolas" w:cs="Consolas"/>
          <w:color w:val="333333"/>
          <w:sz w:val="18"/>
        </w:rPr>
        <w:t xml:space="preserve"> </w:t>
      </w:r>
      <w:r w:rsidR="00426BF3">
        <w:rPr>
          <w:rFonts w:ascii="Consolas" w:hAnsi="Consolas" w:cs="Consolas"/>
          <w:color w:val="333333"/>
          <w:sz w:val="18"/>
        </w:rPr>
        <w:t>realm "Intranet</w:t>
      </w:r>
      <w:r w:rsidR="00426BF3">
        <w:rPr>
          <w:rFonts w:ascii="Consolas" w:hAnsi="Consolas" w:cs="Consolas"/>
          <w:color w:val="333333"/>
          <w:sz w:val="18"/>
        </w:rPr>
        <w:t xml:space="preserve">” </w:t>
      </w:r>
      <w:r>
        <w:rPr>
          <w:rFonts w:ascii="Consolas" w:hAnsi="Consolas" w:cs="Consolas"/>
          <w:color w:val="333333"/>
          <w:sz w:val="18"/>
        </w:rPr>
        <w:t xml:space="preserve">sri-anexos-estructura-service (CRUD plantilla) </w:t>
      </w:r>
      <w:r w:rsidR="00426BF3">
        <w:rPr>
          <w:rFonts w:ascii="Consolas" w:hAnsi="Consolas" w:cs="Consolas"/>
          <w:color w:val="333333"/>
          <w:sz w:val="18"/>
        </w:rPr>
        <w:t>---&gt; sri-anexos-catalogos-service (catalogos/operativos)</w:t>
      </w:r>
      <w:r w:rsidR="00426BF3" w:rsidRPr="00426BF3">
        <w:rPr>
          <w:rFonts w:ascii="Consolas" w:hAnsi="Consolas" w:cs="Consolas"/>
          <w:color w:val="333333"/>
          <w:sz w:val="18"/>
        </w:rPr>
        <w:t xml:space="preserve"> </w:t>
      </w:r>
      <w:r w:rsidR="00426BF3">
        <w:rPr>
          <w:rFonts w:ascii="Consolas" w:hAnsi="Consolas" w:cs="Consolas"/>
          <w:color w:val="333333"/>
          <w:sz w:val="18"/>
        </w:rPr>
        <w:t xml:space="preserve">---&gt; </w:t>
      </w:r>
      <w:r w:rsidR="00426BF3">
        <w:rPr>
          <w:rFonts w:ascii="Consolas" w:hAnsi="Consolas" w:cs="Consolas"/>
          <w:color w:val="333333"/>
          <w:sz w:val="18"/>
        </w:rPr>
        <w:t xml:space="preserve"> </w:t>
      </w:r>
      <w:r>
        <w:rPr>
          <w:rFonts w:ascii="Consolas" w:hAnsi="Consolas" w:cs="Consolas"/>
          <w:color w:val="333333"/>
          <w:sz w:val="18"/>
        </w:rPr>
        <w:t>sri-anexos-habilitacion-service  (transiciones de estado)</w:t>
      </w:r>
    </w:p>
    <w:p w14:paraId="5F8F5CA5" w14:textId="77777777" w:rsidR="005D7A1E" w:rsidRDefault="00000000">
      <w:pPr>
        <w:pBdr>
          <w:top w:val="nil"/>
          <w:left w:val="nil"/>
          <w:bottom w:val="nil"/>
          <w:right w:val="nil"/>
          <w:between w:val="nil"/>
        </w:pBdr>
        <w:spacing w:after="160"/>
        <w:jc w:val="both"/>
      </w:pPr>
      <w:r>
        <w:rPr>
          <w:i/>
          <w:color w:val="000000"/>
        </w:rPr>
        <w:t xml:space="preserve">Cada backend valida de forma independiente el token JWT emitido por Keycloak (ver sección 7); no existe una puerta de enlace (API Gateway) central identificada en esta revisión — cada </w:t>
      </w:r>
      <w:r>
        <w:rPr>
          <w:i/>
          <w:color w:val="000000"/>
        </w:rPr>
        <w:lastRenderedPageBreak/>
        <w:t>servicio expone su propio root-path y valida su propio token.</w:t>
      </w:r>
    </w:p>
    <w:p w14:paraId="19E206D4" w14:textId="77777777" w:rsidR="005D7A1E" w:rsidRDefault="00000000">
      <w:pPr>
        <w:pBdr>
          <w:top w:val="nil"/>
          <w:left w:val="nil"/>
          <w:bottom w:val="nil"/>
          <w:right w:val="nil"/>
          <w:between w:val="nil"/>
        </w:pBdr>
        <w:spacing w:before="360" w:after="200"/>
      </w:pPr>
      <w:r>
        <w:rPr>
          <w:b/>
          <w:color w:val="0000A4"/>
          <w:sz w:val="44"/>
          <w:szCs w:val="44"/>
        </w:rPr>
        <w:t>4. Frontend — núcleo del sistema ("core")</w:t>
      </w:r>
    </w:p>
    <w:p w14:paraId="0F2CA12D" w14:textId="7938982D" w:rsidR="005D7A1E" w:rsidRDefault="00000000">
      <w:pPr>
        <w:pBdr>
          <w:top w:val="nil"/>
          <w:left w:val="nil"/>
          <w:bottom w:val="nil"/>
          <w:right w:val="nil"/>
          <w:between w:val="nil"/>
        </w:pBdr>
        <w:spacing w:after="160"/>
        <w:jc w:val="both"/>
      </w:pPr>
      <w:r>
        <w:rPr>
          <w:color w:val="000000"/>
        </w:rPr>
        <w:t>El proyecto sri-gestion-anexos-web está construido con Vue 3 (Composition API), Vite como bundler, Pinia para el estado global, PrimeVue como librería de componentes visuales, Axios para las llamadas HTTP y keycloak-js para la integración con el SSO.</w:t>
      </w:r>
      <w:r w:rsidR="00E32E4F">
        <w:rPr>
          <w:color w:val="000000"/>
        </w:rPr>
        <w:t xml:space="preserve"> </w:t>
      </w:r>
      <w:r w:rsidR="00E32E4F">
        <w:rPr>
          <w:color w:val="000000"/>
          <w:sz w:val="20"/>
          <w:szCs w:val="20"/>
        </w:rPr>
        <w:t>L</w:t>
      </w:r>
      <w:r w:rsidR="00E32E4F">
        <w:rPr>
          <w:color w:val="000000"/>
          <w:sz w:val="20"/>
          <w:szCs w:val="20"/>
        </w:rPr>
        <w:t>a organización real es por carpetas de módulo de negocio bajo src/components/.</w:t>
      </w:r>
    </w:p>
    <w:p w14:paraId="4F48ED91" w14:textId="77777777" w:rsidR="005D7A1E" w:rsidRDefault="00000000">
      <w:pPr>
        <w:pBdr>
          <w:top w:val="nil"/>
          <w:left w:val="nil"/>
          <w:bottom w:val="nil"/>
          <w:right w:val="nil"/>
          <w:between w:val="nil"/>
        </w:pBdr>
        <w:spacing w:before="260" w:after="140"/>
      </w:pPr>
      <w:r>
        <w:rPr>
          <w:b/>
          <w:color w:val="0000A4"/>
          <w:sz w:val="30"/>
          <w:szCs w:val="30"/>
        </w:rPr>
        <w:t>4.1 Organización del código</w:t>
      </w:r>
    </w:p>
    <w:p w14:paraId="3BCEADAA" w14:textId="77777777" w:rsidR="005D7A1E" w:rsidRDefault="00000000">
      <w:pPr>
        <w:pBdr>
          <w:top w:val="nil"/>
          <w:left w:val="nil"/>
          <w:bottom w:val="nil"/>
          <w:right w:val="nil"/>
          <w:between w:val="nil"/>
        </w:pBdr>
        <w:spacing w:after="160"/>
        <w:jc w:val="both"/>
      </w:pPr>
      <w:r>
        <w:rPr>
          <w:color w:val="000000"/>
        </w:rPr>
        <w:t>No existe una carpeta llamada literalmente "core": las piezas centrales del sistema están distribuidas en varios lugares, pero cumplen ese rol de núcleo transversal del que dependen todos los módulos de negocio.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74"/>
        <w:gridCol w:w="3324"/>
        <w:gridCol w:w="4018"/>
      </w:tblGrid>
      <w:tr w:rsidR="005D7A1E" w14:paraId="7BA1D933" w14:textId="77777777">
        <w:tc>
          <w:tcPr>
            <w:tcW w:w="1100" w:type="pct"/>
            <w:shd w:val="clear" w:color="auto" w:fill="0000A4"/>
            <w:tcMar>
              <w:top w:w="80" w:type="dxa"/>
              <w:left w:w="120" w:type="dxa"/>
              <w:bottom w:w="80" w:type="dxa"/>
              <w:right w:w="120" w:type="dxa"/>
            </w:tcMar>
          </w:tcPr>
          <w:p w14:paraId="02E9325F" w14:textId="77777777" w:rsidR="005D7A1E" w:rsidRDefault="00000000">
            <w:pPr>
              <w:spacing w:line="240" w:lineRule="auto"/>
            </w:pPr>
            <w:r>
              <w:rPr>
                <w:b/>
                <w:color w:val="FFFFFF"/>
                <w:sz w:val="19"/>
                <w:szCs w:val="19"/>
              </w:rPr>
              <w:t>Pieza</w:t>
            </w:r>
          </w:p>
        </w:tc>
        <w:tc>
          <w:tcPr>
            <w:tcW w:w="1500" w:type="pct"/>
            <w:shd w:val="clear" w:color="auto" w:fill="0000A4"/>
            <w:tcMar>
              <w:top w:w="80" w:type="dxa"/>
              <w:left w:w="120" w:type="dxa"/>
              <w:bottom w:w="80" w:type="dxa"/>
              <w:right w:w="120" w:type="dxa"/>
            </w:tcMar>
          </w:tcPr>
          <w:p w14:paraId="473E114C" w14:textId="77777777" w:rsidR="005D7A1E" w:rsidRDefault="00000000">
            <w:pPr>
              <w:spacing w:line="240" w:lineRule="auto"/>
            </w:pPr>
            <w:r>
              <w:rPr>
                <w:b/>
                <w:color w:val="FFFFFF"/>
                <w:sz w:val="19"/>
                <w:szCs w:val="19"/>
              </w:rPr>
              <w:t>Ubicación</w:t>
            </w:r>
          </w:p>
        </w:tc>
        <w:tc>
          <w:tcPr>
            <w:tcW w:w="2400" w:type="pct"/>
            <w:shd w:val="clear" w:color="auto" w:fill="0000A4"/>
            <w:tcMar>
              <w:top w:w="80" w:type="dxa"/>
              <w:left w:w="120" w:type="dxa"/>
              <w:bottom w:w="80" w:type="dxa"/>
              <w:right w:w="120" w:type="dxa"/>
            </w:tcMar>
          </w:tcPr>
          <w:p w14:paraId="332A5F96" w14:textId="77777777" w:rsidR="005D7A1E" w:rsidRDefault="00000000">
            <w:pPr>
              <w:spacing w:line="240" w:lineRule="auto"/>
            </w:pPr>
            <w:r>
              <w:rPr>
                <w:b/>
                <w:color w:val="FFFFFF"/>
                <w:sz w:val="19"/>
                <w:szCs w:val="19"/>
              </w:rPr>
              <w:t>Rol</w:t>
            </w:r>
          </w:p>
        </w:tc>
      </w:tr>
      <w:tr w:rsidR="005D7A1E" w14:paraId="4E33C05B" w14:textId="77777777">
        <w:tc>
          <w:tcPr>
            <w:tcW w:w="1100" w:type="pct"/>
            <w:tcMar>
              <w:top w:w="80" w:type="dxa"/>
              <w:left w:w="120" w:type="dxa"/>
              <w:bottom w:w="80" w:type="dxa"/>
              <w:right w:w="120" w:type="dxa"/>
            </w:tcMar>
          </w:tcPr>
          <w:p w14:paraId="0B168652" w14:textId="77777777" w:rsidR="005D7A1E" w:rsidRDefault="00000000">
            <w:pPr>
              <w:spacing w:line="240" w:lineRule="auto"/>
            </w:pPr>
            <w:r>
              <w:rPr>
                <w:color w:val="202020"/>
                <w:sz w:val="19"/>
                <w:szCs w:val="19"/>
              </w:rPr>
              <w:t>Inicialización SSO</w:t>
            </w:r>
          </w:p>
        </w:tc>
        <w:tc>
          <w:tcPr>
            <w:tcW w:w="1500" w:type="pct"/>
            <w:tcMar>
              <w:top w:w="80" w:type="dxa"/>
              <w:left w:w="120" w:type="dxa"/>
              <w:bottom w:w="80" w:type="dxa"/>
              <w:right w:w="120" w:type="dxa"/>
            </w:tcMar>
          </w:tcPr>
          <w:p w14:paraId="7A2BB6F3" w14:textId="77777777" w:rsidR="005D7A1E" w:rsidRDefault="00000000">
            <w:pPr>
              <w:spacing w:line="240" w:lineRule="auto"/>
            </w:pPr>
            <w:r>
              <w:rPr>
                <w:color w:val="202020"/>
                <w:sz w:val="19"/>
                <w:szCs w:val="19"/>
              </w:rPr>
              <w:t>src/keycloak/keycloak.js</w:t>
            </w:r>
          </w:p>
        </w:tc>
        <w:tc>
          <w:tcPr>
            <w:tcW w:w="2400" w:type="pct"/>
            <w:tcMar>
              <w:top w:w="80" w:type="dxa"/>
              <w:left w:w="120" w:type="dxa"/>
              <w:bottom w:w="80" w:type="dxa"/>
              <w:right w:w="120" w:type="dxa"/>
            </w:tcMar>
          </w:tcPr>
          <w:p w14:paraId="7A168D32" w14:textId="77777777" w:rsidR="005D7A1E" w:rsidRDefault="00000000">
            <w:pPr>
              <w:spacing w:line="240" w:lineRule="auto"/>
            </w:pPr>
            <w:r>
              <w:rPr>
                <w:color w:val="202020"/>
                <w:sz w:val="19"/>
                <w:szCs w:val="19"/>
              </w:rPr>
              <w:t>Configura e inicializa el cliente Keycloak antes de montar la aplicación</w:t>
            </w:r>
          </w:p>
        </w:tc>
      </w:tr>
      <w:tr w:rsidR="005D7A1E" w14:paraId="50C518EC" w14:textId="77777777">
        <w:tc>
          <w:tcPr>
            <w:tcW w:w="1100" w:type="pct"/>
            <w:tcMar>
              <w:top w:w="80" w:type="dxa"/>
              <w:left w:w="120" w:type="dxa"/>
              <w:bottom w:w="80" w:type="dxa"/>
              <w:right w:w="120" w:type="dxa"/>
            </w:tcMar>
          </w:tcPr>
          <w:p w14:paraId="32675361" w14:textId="77777777" w:rsidR="005D7A1E" w:rsidRDefault="00000000">
            <w:pPr>
              <w:spacing w:line="240" w:lineRule="auto"/>
            </w:pPr>
            <w:r>
              <w:rPr>
                <w:color w:val="202020"/>
                <w:sz w:val="19"/>
                <w:szCs w:val="19"/>
              </w:rPr>
              <w:t>Interceptor de token</w:t>
            </w:r>
          </w:p>
        </w:tc>
        <w:tc>
          <w:tcPr>
            <w:tcW w:w="1500" w:type="pct"/>
            <w:tcMar>
              <w:top w:w="80" w:type="dxa"/>
              <w:left w:w="120" w:type="dxa"/>
              <w:bottom w:w="80" w:type="dxa"/>
              <w:right w:w="120" w:type="dxa"/>
            </w:tcMar>
          </w:tcPr>
          <w:p w14:paraId="40F66E6E" w14:textId="77777777" w:rsidR="005D7A1E" w:rsidRDefault="00000000">
            <w:pPr>
              <w:spacing w:line="240" w:lineRule="auto"/>
            </w:pPr>
            <w:r>
              <w:rPr>
                <w:color w:val="202020"/>
                <w:sz w:val="19"/>
                <w:szCs w:val="19"/>
              </w:rPr>
              <w:t>src/interceptores/TokenInterceptor.js</w:t>
            </w:r>
          </w:p>
        </w:tc>
        <w:tc>
          <w:tcPr>
            <w:tcW w:w="2400" w:type="pct"/>
            <w:tcMar>
              <w:top w:w="80" w:type="dxa"/>
              <w:left w:w="120" w:type="dxa"/>
              <w:bottom w:w="80" w:type="dxa"/>
              <w:right w:w="120" w:type="dxa"/>
            </w:tcMar>
          </w:tcPr>
          <w:p w14:paraId="48F742A9" w14:textId="77777777" w:rsidR="005D7A1E" w:rsidRDefault="00000000">
            <w:pPr>
              <w:spacing w:line="240" w:lineRule="auto"/>
            </w:pPr>
            <w:r>
              <w:rPr>
                <w:color w:val="202020"/>
                <w:sz w:val="19"/>
                <w:szCs w:val="19"/>
              </w:rPr>
              <w:t>Crea instancias Axios con el Bearer token inyectado automáticamente; maneja expiración/401</w:t>
            </w:r>
          </w:p>
        </w:tc>
      </w:tr>
      <w:tr w:rsidR="005D7A1E" w14:paraId="1791CB48" w14:textId="77777777">
        <w:tc>
          <w:tcPr>
            <w:tcW w:w="1100" w:type="pct"/>
            <w:tcMar>
              <w:top w:w="80" w:type="dxa"/>
              <w:left w:w="120" w:type="dxa"/>
              <w:bottom w:w="80" w:type="dxa"/>
              <w:right w:w="120" w:type="dxa"/>
            </w:tcMar>
          </w:tcPr>
          <w:p w14:paraId="3459F32C" w14:textId="77777777" w:rsidR="005D7A1E" w:rsidRDefault="00000000">
            <w:pPr>
              <w:spacing w:line="240" w:lineRule="auto"/>
            </w:pPr>
            <w:r>
              <w:rPr>
                <w:color w:val="202020"/>
                <w:sz w:val="19"/>
                <w:szCs w:val="19"/>
              </w:rPr>
              <w:t>Ruteo y autorización</w:t>
            </w:r>
          </w:p>
        </w:tc>
        <w:tc>
          <w:tcPr>
            <w:tcW w:w="1500" w:type="pct"/>
            <w:tcMar>
              <w:top w:w="80" w:type="dxa"/>
              <w:left w:w="120" w:type="dxa"/>
              <w:bottom w:w="80" w:type="dxa"/>
              <w:right w:w="120" w:type="dxa"/>
            </w:tcMar>
          </w:tcPr>
          <w:p w14:paraId="79D2A5DD" w14:textId="77777777" w:rsidR="005D7A1E" w:rsidRDefault="00000000">
            <w:pPr>
              <w:spacing w:line="240" w:lineRule="auto"/>
            </w:pPr>
            <w:r>
              <w:rPr>
                <w:color w:val="202020"/>
                <w:sz w:val="19"/>
                <w:szCs w:val="19"/>
              </w:rPr>
              <w:t>src/router/RuteoBase.js, AutorizacionGuardian.js</w:t>
            </w:r>
          </w:p>
        </w:tc>
        <w:tc>
          <w:tcPr>
            <w:tcW w:w="2400" w:type="pct"/>
            <w:tcMar>
              <w:top w:w="80" w:type="dxa"/>
              <w:left w:w="120" w:type="dxa"/>
              <w:bottom w:w="80" w:type="dxa"/>
              <w:right w:w="120" w:type="dxa"/>
            </w:tcMar>
          </w:tcPr>
          <w:p w14:paraId="2132090C" w14:textId="77777777" w:rsidR="005D7A1E" w:rsidRDefault="00000000">
            <w:pPr>
              <w:spacing w:line="240" w:lineRule="auto"/>
            </w:pPr>
            <w:r>
              <w:rPr>
                <w:color w:val="202020"/>
                <w:sz w:val="19"/>
                <w:szCs w:val="19"/>
              </w:rPr>
              <w:t>Define rutas (lazy loading) y valida si el usuario puede acceder a cada módulo</w:t>
            </w:r>
          </w:p>
        </w:tc>
      </w:tr>
      <w:tr w:rsidR="005D7A1E" w14:paraId="54507524" w14:textId="77777777">
        <w:tc>
          <w:tcPr>
            <w:tcW w:w="1100" w:type="pct"/>
            <w:tcMar>
              <w:top w:w="80" w:type="dxa"/>
              <w:left w:w="120" w:type="dxa"/>
              <w:bottom w:w="80" w:type="dxa"/>
              <w:right w:w="120" w:type="dxa"/>
            </w:tcMar>
          </w:tcPr>
          <w:p w14:paraId="4F304C4B" w14:textId="77777777" w:rsidR="005D7A1E" w:rsidRDefault="00000000">
            <w:pPr>
              <w:spacing w:line="240" w:lineRule="auto"/>
            </w:pPr>
            <w:r>
              <w:rPr>
                <w:color w:val="202020"/>
                <w:sz w:val="19"/>
                <w:szCs w:val="19"/>
              </w:rPr>
              <w:t>Estado global (Pinia)</w:t>
            </w:r>
          </w:p>
        </w:tc>
        <w:tc>
          <w:tcPr>
            <w:tcW w:w="1500" w:type="pct"/>
            <w:tcMar>
              <w:top w:w="80" w:type="dxa"/>
              <w:left w:w="120" w:type="dxa"/>
              <w:bottom w:w="80" w:type="dxa"/>
              <w:right w:w="120" w:type="dxa"/>
            </w:tcMar>
          </w:tcPr>
          <w:p w14:paraId="0AEBA97F" w14:textId="77777777" w:rsidR="005D7A1E" w:rsidRDefault="00000000">
            <w:pPr>
              <w:spacing w:line="240" w:lineRule="auto"/>
            </w:pPr>
            <w:r>
              <w:rPr>
                <w:color w:val="202020"/>
                <w:sz w:val="19"/>
                <w:szCs w:val="19"/>
              </w:rPr>
              <w:t>src/store/*</w:t>
            </w:r>
          </w:p>
        </w:tc>
        <w:tc>
          <w:tcPr>
            <w:tcW w:w="2400" w:type="pct"/>
            <w:tcMar>
              <w:top w:w="80" w:type="dxa"/>
              <w:left w:w="120" w:type="dxa"/>
              <w:bottom w:w="80" w:type="dxa"/>
              <w:right w:w="120" w:type="dxa"/>
            </w:tcMar>
          </w:tcPr>
          <w:p w14:paraId="0DD23539" w14:textId="77777777" w:rsidR="005D7A1E" w:rsidRDefault="00000000">
            <w:pPr>
              <w:spacing w:line="240" w:lineRule="auto"/>
            </w:pPr>
            <w:r>
              <w:rPr>
                <w:color w:val="202020"/>
                <w:sz w:val="19"/>
                <w:szCs w:val="19"/>
              </w:rPr>
              <w:t>UsuarioStore (sesión y autorización), CatalogoStore, FormularioStore, DiseniadorFormularioStore, MensajeStore, CargandoStore, OperativoStore</w:t>
            </w:r>
          </w:p>
        </w:tc>
      </w:tr>
      <w:tr w:rsidR="005D7A1E" w14:paraId="466751A0" w14:textId="77777777">
        <w:tc>
          <w:tcPr>
            <w:tcW w:w="1100" w:type="pct"/>
            <w:tcMar>
              <w:top w:w="80" w:type="dxa"/>
              <w:left w:w="120" w:type="dxa"/>
              <w:bottom w:w="80" w:type="dxa"/>
              <w:right w:w="120" w:type="dxa"/>
            </w:tcMar>
          </w:tcPr>
          <w:p w14:paraId="2DAAD114" w14:textId="77777777" w:rsidR="005D7A1E" w:rsidRDefault="00000000">
            <w:pPr>
              <w:spacing w:line="240" w:lineRule="auto"/>
            </w:pPr>
            <w:r>
              <w:rPr>
                <w:color w:val="202020"/>
                <w:sz w:val="19"/>
                <w:szCs w:val="19"/>
              </w:rPr>
              <w:t>Módulo "base"</w:t>
            </w:r>
          </w:p>
        </w:tc>
        <w:tc>
          <w:tcPr>
            <w:tcW w:w="1500" w:type="pct"/>
            <w:tcMar>
              <w:top w:w="80" w:type="dxa"/>
              <w:left w:w="120" w:type="dxa"/>
              <w:bottom w:w="80" w:type="dxa"/>
              <w:right w:w="120" w:type="dxa"/>
            </w:tcMar>
          </w:tcPr>
          <w:p w14:paraId="0D23AE6E" w14:textId="77777777" w:rsidR="005D7A1E" w:rsidRDefault="00000000">
            <w:pPr>
              <w:spacing w:line="240" w:lineRule="auto"/>
            </w:pPr>
            <w:r>
              <w:rPr>
                <w:color w:val="202020"/>
                <w:sz w:val="19"/>
                <w:szCs w:val="19"/>
              </w:rPr>
              <w:t>src/components/base/</w:t>
            </w:r>
          </w:p>
        </w:tc>
        <w:tc>
          <w:tcPr>
            <w:tcW w:w="2400" w:type="pct"/>
            <w:tcMar>
              <w:top w:w="80" w:type="dxa"/>
              <w:left w:w="120" w:type="dxa"/>
              <w:bottom w:w="80" w:type="dxa"/>
              <w:right w:w="120" w:type="dxa"/>
            </w:tcMar>
          </w:tcPr>
          <w:p w14:paraId="2CE77459" w14:textId="77777777" w:rsidR="005D7A1E" w:rsidRDefault="00000000">
            <w:pPr>
              <w:spacing w:line="240" w:lineRule="auto"/>
            </w:pPr>
            <w:r>
              <w:rPr>
                <w:color w:val="202020"/>
                <w:sz w:val="19"/>
                <w:szCs w:val="19"/>
              </w:rPr>
              <w:t>Página de inicio, páginas de error (acceso no autorizado, 404) y el servicio que consulta sri-autorizacion-api</w:t>
            </w:r>
          </w:p>
        </w:tc>
      </w:tr>
      <w:tr w:rsidR="005D7A1E" w14:paraId="07B12014" w14:textId="77777777">
        <w:tc>
          <w:tcPr>
            <w:tcW w:w="1100" w:type="pct"/>
            <w:tcMar>
              <w:top w:w="80" w:type="dxa"/>
              <w:left w:w="120" w:type="dxa"/>
              <w:bottom w:w="80" w:type="dxa"/>
              <w:right w:w="120" w:type="dxa"/>
            </w:tcMar>
          </w:tcPr>
          <w:p w14:paraId="04B3320F" w14:textId="77777777" w:rsidR="005D7A1E" w:rsidRDefault="00000000">
            <w:pPr>
              <w:spacing w:line="240" w:lineRule="auto"/>
            </w:pPr>
            <w:r>
              <w:rPr>
                <w:color w:val="202020"/>
                <w:sz w:val="19"/>
                <w:szCs w:val="19"/>
              </w:rPr>
              <w:t>Módulo "comun"</w:t>
            </w:r>
          </w:p>
        </w:tc>
        <w:tc>
          <w:tcPr>
            <w:tcW w:w="1500" w:type="pct"/>
            <w:tcMar>
              <w:top w:w="80" w:type="dxa"/>
              <w:left w:w="120" w:type="dxa"/>
              <w:bottom w:w="80" w:type="dxa"/>
              <w:right w:w="120" w:type="dxa"/>
            </w:tcMar>
          </w:tcPr>
          <w:p w14:paraId="69940F23" w14:textId="77777777" w:rsidR="005D7A1E" w:rsidRDefault="00000000">
            <w:pPr>
              <w:spacing w:line="240" w:lineRule="auto"/>
            </w:pPr>
            <w:r>
              <w:rPr>
                <w:color w:val="202020"/>
                <w:sz w:val="19"/>
                <w:szCs w:val="19"/>
              </w:rPr>
              <w:t>src/components/comun/</w:t>
            </w:r>
          </w:p>
        </w:tc>
        <w:tc>
          <w:tcPr>
            <w:tcW w:w="2400" w:type="pct"/>
            <w:tcMar>
              <w:top w:w="80" w:type="dxa"/>
              <w:left w:w="120" w:type="dxa"/>
              <w:bottom w:w="80" w:type="dxa"/>
              <w:right w:w="120" w:type="dxa"/>
            </w:tcMar>
          </w:tcPr>
          <w:p w14:paraId="70159990" w14:textId="77777777" w:rsidR="005D7A1E" w:rsidRDefault="00000000">
            <w:pPr>
              <w:spacing w:line="240" w:lineRule="auto"/>
            </w:pPr>
            <w:r>
              <w:rPr>
                <w:color w:val="202020"/>
                <w:sz w:val="19"/>
                <w:szCs w:val="19"/>
              </w:rPr>
              <w:t>Componentes y composables reutilizables entre módulos: tablas, filtros, mensajes, diálogos, validaciones</w:t>
            </w:r>
          </w:p>
        </w:tc>
      </w:tr>
      <w:tr w:rsidR="005D7A1E" w14:paraId="424D9F3F" w14:textId="77777777">
        <w:tc>
          <w:tcPr>
            <w:tcW w:w="1100" w:type="pct"/>
            <w:tcMar>
              <w:top w:w="80" w:type="dxa"/>
              <w:left w:w="120" w:type="dxa"/>
              <w:bottom w:w="80" w:type="dxa"/>
              <w:right w:w="120" w:type="dxa"/>
            </w:tcMar>
          </w:tcPr>
          <w:p w14:paraId="31284EFF" w14:textId="77777777" w:rsidR="005D7A1E" w:rsidRDefault="00000000">
            <w:pPr>
              <w:spacing w:line="240" w:lineRule="auto"/>
            </w:pPr>
            <w:r>
              <w:rPr>
                <w:color w:val="202020"/>
                <w:sz w:val="19"/>
                <w:szCs w:val="19"/>
              </w:rPr>
              <w:t>Utilitarios</w:t>
            </w:r>
          </w:p>
        </w:tc>
        <w:tc>
          <w:tcPr>
            <w:tcW w:w="1500" w:type="pct"/>
            <w:tcMar>
              <w:top w:w="80" w:type="dxa"/>
              <w:left w:w="120" w:type="dxa"/>
              <w:bottom w:w="80" w:type="dxa"/>
              <w:right w:w="120" w:type="dxa"/>
            </w:tcMar>
          </w:tcPr>
          <w:p w14:paraId="726B5B29" w14:textId="77777777" w:rsidR="005D7A1E" w:rsidRDefault="00000000">
            <w:pPr>
              <w:spacing w:line="240" w:lineRule="auto"/>
            </w:pPr>
            <w:r>
              <w:rPr>
                <w:color w:val="202020"/>
                <w:sz w:val="19"/>
                <w:szCs w:val="19"/>
              </w:rPr>
              <w:t>src/utilitarios/</w:t>
            </w:r>
          </w:p>
        </w:tc>
        <w:tc>
          <w:tcPr>
            <w:tcW w:w="2400" w:type="pct"/>
            <w:tcMar>
              <w:top w:w="80" w:type="dxa"/>
              <w:left w:w="120" w:type="dxa"/>
              <w:bottom w:w="80" w:type="dxa"/>
              <w:right w:w="120" w:type="dxa"/>
            </w:tcMar>
          </w:tcPr>
          <w:p w14:paraId="1B951B86" w14:textId="77777777" w:rsidR="005D7A1E" w:rsidRDefault="00000000">
            <w:pPr>
              <w:spacing w:line="240" w:lineRule="auto"/>
            </w:pPr>
            <w:r>
              <w:rPr>
                <w:color w:val="202020"/>
                <w:sz w:val="19"/>
                <w:szCs w:val="19"/>
              </w:rPr>
              <w:t>Helpers de configuración SSO, manejo de errores de API, idioma</w:t>
            </w:r>
          </w:p>
        </w:tc>
      </w:tr>
      <w:tr w:rsidR="005D7A1E" w14:paraId="7E58AA34" w14:textId="77777777">
        <w:tc>
          <w:tcPr>
            <w:tcW w:w="1100" w:type="pct"/>
            <w:tcMar>
              <w:top w:w="80" w:type="dxa"/>
              <w:left w:w="120" w:type="dxa"/>
              <w:bottom w:w="80" w:type="dxa"/>
              <w:right w:w="120" w:type="dxa"/>
            </w:tcMar>
          </w:tcPr>
          <w:p w14:paraId="36E31D3D" w14:textId="77777777" w:rsidR="005D7A1E" w:rsidRDefault="00000000">
            <w:pPr>
              <w:spacing w:line="240" w:lineRule="auto"/>
            </w:pPr>
            <w:r>
              <w:rPr>
                <w:color w:val="202020"/>
                <w:sz w:val="19"/>
                <w:szCs w:val="19"/>
              </w:rPr>
              <w:t>Arranque de la app</w:t>
            </w:r>
          </w:p>
        </w:tc>
        <w:tc>
          <w:tcPr>
            <w:tcW w:w="1500" w:type="pct"/>
            <w:tcMar>
              <w:top w:w="80" w:type="dxa"/>
              <w:left w:w="120" w:type="dxa"/>
              <w:bottom w:w="80" w:type="dxa"/>
              <w:right w:w="120" w:type="dxa"/>
            </w:tcMar>
          </w:tcPr>
          <w:p w14:paraId="41E56F79" w14:textId="77777777" w:rsidR="005D7A1E" w:rsidRDefault="00000000">
            <w:pPr>
              <w:spacing w:line="240" w:lineRule="auto"/>
            </w:pPr>
            <w:r>
              <w:rPr>
                <w:color w:val="202020"/>
                <w:sz w:val="19"/>
                <w:szCs w:val="19"/>
              </w:rPr>
              <w:t>src/main.js</w:t>
            </w:r>
          </w:p>
        </w:tc>
        <w:tc>
          <w:tcPr>
            <w:tcW w:w="2400" w:type="pct"/>
            <w:tcMar>
              <w:top w:w="80" w:type="dxa"/>
              <w:left w:w="120" w:type="dxa"/>
              <w:bottom w:w="80" w:type="dxa"/>
              <w:right w:w="120" w:type="dxa"/>
            </w:tcMar>
          </w:tcPr>
          <w:p w14:paraId="19F24548" w14:textId="77777777" w:rsidR="005D7A1E" w:rsidRDefault="00000000">
            <w:pPr>
              <w:spacing w:line="240" w:lineRule="auto"/>
            </w:pPr>
            <w:r>
              <w:rPr>
                <w:color w:val="202020"/>
                <w:sz w:val="19"/>
                <w:szCs w:val="19"/>
              </w:rPr>
              <w:t>Inicializa Keycloak; si autentica, monta Vue con Pinia, router, PrimeVue, i18n y el detector de inactividad</w:t>
            </w:r>
          </w:p>
        </w:tc>
      </w:tr>
    </w:tbl>
    <w:p w14:paraId="2A867EEF" w14:textId="77777777" w:rsidR="005D7A1E" w:rsidRDefault="005D7A1E">
      <w:pPr>
        <w:spacing w:after="160"/>
      </w:pPr>
    </w:p>
    <w:p w14:paraId="04C05BFD" w14:textId="1FDC3312" w:rsidR="005D7A1E" w:rsidRDefault="00000000">
      <w:pPr>
        <w:pBdr>
          <w:top w:val="nil"/>
          <w:left w:val="nil"/>
          <w:bottom w:val="nil"/>
          <w:right w:val="nil"/>
          <w:between w:val="nil"/>
        </w:pBdr>
        <w:spacing w:before="260" w:after="140"/>
      </w:pPr>
      <w:r>
        <w:rPr>
          <w:b/>
          <w:color w:val="0000A4"/>
          <w:sz w:val="30"/>
          <w:szCs w:val="30"/>
        </w:rPr>
        <w:t xml:space="preserve">4.2 Módulos de negocio </w:t>
      </w:r>
    </w:p>
    <w:p w14:paraId="62959F1F" w14:textId="77777777" w:rsidR="005D7A1E" w:rsidRDefault="00000000">
      <w:pPr>
        <w:pBdr>
          <w:top w:val="nil"/>
          <w:left w:val="nil"/>
          <w:bottom w:val="nil"/>
          <w:right w:val="nil"/>
          <w:between w:val="nil"/>
        </w:pBdr>
        <w:spacing w:after="160"/>
        <w:jc w:val="both"/>
      </w:pPr>
      <w:r>
        <w:rPr>
          <w:color w:val="000000"/>
        </w:rPr>
        <w:t>Bajo src/components/ cada módulo sigue una convención consistente de subcarpetas (componentes, composables, interfaces, paginas, servicios, types). Los módulos existentes son: aprobacion, asignacion, base, campos, catalogo, comparador, comun, diseniador, mensaje, operativo y plantilla.</w:t>
      </w:r>
    </w:p>
    <w:p w14:paraId="21065A88" w14:textId="77777777" w:rsidR="005D7A1E" w:rsidRDefault="00000000">
      <w:pPr>
        <w:pBdr>
          <w:top w:val="nil"/>
          <w:left w:val="nil"/>
          <w:bottom w:val="nil"/>
          <w:right w:val="nil"/>
          <w:between w:val="nil"/>
        </w:pBdr>
        <w:spacing w:before="360" w:after="200"/>
      </w:pPr>
      <w:r>
        <w:rPr>
          <w:b/>
          <w:color w:val="0000A4"/>
          <w:sz w:val="44"/>
          <w:szCs w:val="44"/>
        </w:rPr>
        <w:lastRenderedPageBreak/>
        <w:t>5. Módulo de plantilla y aprobación</w:t>
      </w:r>
    </w:p>
    <w:p w14:paraId="0BCBC6F6" w14:textId="77777777" w:rsidR="005D7A1E" w:rsidRDefault="00000000">
      <w:pPr>
        <w:pBdr>
          <w:top w:val="nil"/>
          <w:left w:val="nil"/>
          <w:bottom w:val="nil"/>
          <w:right w:val="nil"/>
          <w:between w:val="nil"/>
        </w:pBdr>
        <w:spacing w:after="160"/>
        <w:jc w:val="both"/>
      </w:pPr>
      <w:r>
        <w:rPr>
          <w:color w:val="000000"/>
        </w:rPr>
        <w:t>Este es el flujo de negocio central de GAN: el diseño de una plantilla de anexo, su revisión y su aprobación/publicación.</w:t>
      </w:r>
    </w:p>
    <w:p w14:paraId="239C7DA5" w14:textId="533535C3" w:rsidR="005D7A1E" w:rsidRDefault="00000000" w:rsidP="001271A2">
      <w:pPr>
        <w:pStyle w:val="Prrafodelista"/>
        <w:numPr>
          <w:ilvl w:val="1"/>
          <w:numId w:val="2"/>
        </w:numPr>
        <w:pBdr>
          <w:top w:val="nil"/>
          <w:left w:val="nil"/>
          <w:bottom w:val="nil"/>
          <w:right w:val="nil"/>
          <w:between w:val="nil"/>
        </w:pBdr>
        <w:spacing w:before="260" w:after="140"/>
      </w:pPr>
      <w:r w:rsidRPr="001271A2">
        <w:rPr>
          <w:b/>
          <w:color w:val="0000A4"/>
          <w:sz w:val="30"/>
          <w:szCs w:val="30"/>
        </w:rPr>
        <w:t>Flujo de negocio</w:t>
      </w:r>
    </w:p>
    <w:p w14:paraId="778CE207" w14:textId="77777777" w:rsidR="001271A2" w:rsidRDefault="00000000">
      <w:pPr>
        <w:pBdr>
          <w:top w:val="nil"/>
          <w:left w:val="nil"/>
          <w:bottom w:val="nil"/>
          <w:right w:val="nil"/>
          <w:between w:val="nil"/>
        </w:pBdr>
        <w:spacing w:after="100"/>
        <w:ind w:left="360"/>
        <w:jc w:val="both"/>
        <w:rPr>
          <w:b/>
          <w:color w:val="0000A4"/>
          <w:sz w:val="21"/>
          <w:szCs w:val="21"/>
        </w:rPr>
      </w:pPr>
      <w:r>
        <w:rPr>
          <w:b/>
          <w:color w:val="0000A4"/>
          <w:sz w:val="21"/>
          <w:szCs w:val="21"/>
        </w:rPr>
        <w:t xml:space="preserve">•  </w:t>
      </w:r>
      <w:r w:rsidR="001271A2">
        <w:rPr>
          <w:b/>
          <w:color w:val="0000A4"/>
          <w:sz w:val="21"/>
          <w:szCs w:val="21"/>
        </w:rPr>
        <w:t xml:space="preserve">Módulo </w:t>
      </w:r>
      <w:r>
        <w:rPr>
          <w:b/>
          <w:color w:val="0000A4"/>
          <w:sz w:val="21"/>
          <w:szCs w:val="21"/>
        </w:rPr>
        <w:t xml:space="preserve">Diseño: </w:t>
      </w:r>
    </w:p>
    <w:p w14:paraId="03C39803" w14:textId="77777777" w:rsidR="001271A2" w:rsidRDefault="00000000" w:rsidP="001271A2">
      <w:pPr>
        <w:pStyle w:val="Prrafodelista"/>
        <w:numPr>
          <w:ilvl w:val="0"/>
          <w:numId w:val="4"/>
        </w:numPr>
        <w:pBdr>
          <w:top w:val="nil"/>
          <w:left w:val="nil"/>
          <w:bottom w:val="nil"/>
          <w:right w:val="nil"/>
          <w:between w:val="nil"/>
        </w:pBdr>
        <w:spacing w:after="100"/>
        <w:jc w:val="both"/>
        <w:rPr>
          <w:color w:val="000000"/>
          <w:sz w:val="21"/>
          <w:szCs w:val="21"/>
        </w:rPr>
      </w:pPr>
      <w:r w:rsidRPr="001271A2">
        <w:rPr>
          <w:color w:val="000000"/>
          <w:sz w:val="21"/>
          <w:szCs w:val="21"/>
        </w:rPr>
        <w:t xml:space="preserve">El </w:t>
      </w:r>
      <w:r w:rsidR="001271A2" w:rsidRPr="001271A2">
        <w:rPr>
          <w:color w:val="000000"/>
          <w:sz w:val="21"/>
          <w:szCs w:val="21"/>
        </w:rPr>
        <w:t>menú nuevo diseño</w:t>
      </w:r>
      <w:r w:rsidRPr="001271A2">
        <w:rPr>
          <w:color w:val="000000"/>
          <w:sz w:val="21"/>
          <w:szCs w:val="21"/>
        </w:rPr>
        <w:t xml:space="preserve"> permite crear/editar el contenido de una plantilla (campos, fórmulas, validaciones).</w:t>
      </w:r>
    </w:p>
    <w:p w14:paraId="4C1AFE37" w14:textId="4DE75377" w:rsidR="005D7A1E" w:rsidRPr="001271A2" w:rsidRDefault="00000000" w:rsidP="001271A2">
      <w:pPr>
        <w:pStyle w:val="Prrafodelista"/>
        <w:numPr>
          <w:ilvl w:val="0"/>
          <w:numId w:val="4"/>
        </w:numPr>
        <w:pBdr>
          <w:top w:val="nil"/>
          <w:left w:val="nil"/>
          <w:bottom w:val="nil"/>
          <w:right w:val="nil"/>
          <w:between w:val="nil"/>
        </w:pBdr>
        <w:spacing w:after="100"/>
        <w:jc w:val="both"/>
        <w:rPr>
          <w:color w:val="000000"/>
          <w:sz w:val="21"/>
          <w:szCs w:val="21"/>
        </w:rPr>
      </w:pPr>
      <w:r w:rsidRPr="001271A2">
        <w:rPr>
          <w:color w:val="000000"/>
          <w:sz w:val="21"/>
          <w:szCs w:val="21"/>
        </w:rPr>
        <w:t xml:space="preserve">El </w:t>
      </w:r>
      <w:r w:rsidR="001271A2" w:rsidRPr="001271A2">
        <w:rPr>
          <w:color w:val="000000"/>
          <w:sz w:val="21"/>
          <w:szCs w:val="21"/>
        </w:rPr>
        <w:t>menú</w:t>
      </w:r>
      <w:r w:rsidRPr="001271A2">
        <w:rPr>
          <w:color w:val="000000"/>
          <w:sz w:val="21"/>
          <w:szCs w:val="21"/>
        </w:rPr>
        <w:t xml:space="preserve"> plantilla</w:t>
      </w:r>
      <w:r w:rsidR="001271A2" w:rsidRPr="001271A2">
        <w:rPr>
          <w:color w:val="000000"/>
          <w:sz w:val="21"/>
          <w:szCs w:val="21"/>
        </w:rPr>
        <w:t>s</w:t>
      </w:r>
      <w:r w:rsidRPr="001271A2">
        <w:rPr>
          <w:color w:val="000000"/>
          <w:sz w:val="21"/>
          <w:szCs w:val="21"/>
        </w:rPr>
        <w:t xml:space="preserve"> </w:t>
      </w:r>
      <w:r w:rsidR="001271A2" w:rsidRPr="001271A2">
        <w:rPr>
          <w:color w:val="000000"/>
          <w:sz w:val="21"/>
          <w:szCs w:val="21"/>
        </w:rPr>
        <w:t xml:space="preserve">permite manejar la administración de las plantillas </w:t>
      </w:r>
      <w:r w:rsidRPr="001271A2">
        <w:rPr>
          <w:color w:val="000000"/>
          <w:sz w:val="21"/>
          <w:szCs w:val="21"/>
        </w:rPr>
        <w:t>(</w:t>
      </w:r>
      <w:r w:rsidR="001271A2" w:rsidRPr="001271A2">
        <w:rPr>
          <w:color w:val="000000"/>
          <w:sz w:val="21"/>
          <w:szCs w:val="21"/>
        </w:rPr>
        <w:t>lista paginada,</w:t>
      </w:r>
      <w:r w:rsidRPr="001271A2">
        <w:rPr>
          <w:color w:val="000000"/>
          <w:sz w:val="21"/>
          <w:szCs w:val="21"/>
        </w:rPr>
        <w:t xml:space="preserve"> rut</w:t>
      </w:r>
      <w:r w:rsidR="001271A2" w:rsidRPr="001271A2">
        <w:rPr>
          <w:color w:val="000000"/>
          <w:sz w:val="21"/>
          <w:szCs w:val="21"/>
        </w:rPr>
        <w:t>eo a diferentes acciones y</w:t>
      </w:r>
      <w:r w:rsidRPr="001271A2">
        <w:rPr>
          <w:color w:val="000000"/>
          <w:sz w:val="21"/>
          <w:szCs w:val="21"/>
        </w:rPr>
        <w:t xml:space="preserve"> </w:t>
      </w:r>
      <w:r w:rsidR="001271A2" w:rsidRPr="001271A2">
        <w:rPr>
          <w:color w:val="000000"/>
          <w:sz w:val="21"/>
          <w:szCs w:val="21"/>
        </w:rPr>
        <w:t>envió</w:t>
      </w:r>
      <w:r w:rsidRPr="001271A2">
        <w:rPr>
          <w:color w:val="000000"/>
          <w:sz w:val="21"/>
          <w:szCs w:val="21"/>
        </w:rPr>
        <w:t xml:space="preserve"> a </w:t>
      </w:r>
      <w:r w:rsidR="001271A2" w:rsidRPr="001271A2">
        <w:rPr>
          <w:color w:val="000000"/>
          <w:sz w:val="21"/>
          <w:szCs w:val="21"/>
        </w:rPr>
        <w:t>revision).</w:t>
      </w:r>
    </w:p>
    <w:p w14:paraId="652CB588" w14:textId="77777777" w:rsidR="001271A2" w:rsidRDefault="00000000" w:rsidP="001271A2">
      <w:pPr>
        <w:pBdr>
          <w:top w:val="nil"/>
          <w:left w:val="nil"/>
          <w:bottom w:val="nil"/>
          <w:right w:val="nil"/>
          <w:between w:val="nil"/>
        </w:pBdr>
        <w:spacing w:after="100"/>
        <w:ind w:left="360"/>
        <w:jc w:val="both"/>
        <w:rPr>
          <w:b/>
          <w:color w:val="0000A4"/>
          <w:sz w:val="21"/>
          <w:szCs w:val="21"/>
        </w:rPr>
      </w:pPr>
      <w:r>
        <w:rPr>
          <w:b/>
          <w:color w:val="0000A4"/>
          <w:sz w:val="21"/>
          <w:szCs w:val="21"/>
        </w:rPr>
        <w:t xml:space="preserve">• </w:t>
      </w:r>
      <w:r w:rsidR="001271A2">
        <w:rPr>
          <w:b/>
          <w:color w:val="0000A4"/>
          <w:sz w:val="21"/>
          <w:szCs w:val="21"/>
        </w:rPr>
        <w:t xml:space="preserve">Módulo </w:t>
      </w:r>
      <w:r>
        <w:rPr>
          <w:b/>
          <w:color w:val="0000A4"/>
          <w:sz w:val="21"/>
          <w:szCs w:val="21"/>
        </w:rPr>
        <w:t xml:space="preserve">Aprobación: </w:t>
      </w:r>
    </w:p>
    <w:p w14:paraId="42977293" w14:textId="5814038C" w:rsidR="005D7A1E" w:rsidRPr="001271A2" w:rsidRDefault="00000000" w:rsidP="001271A2">
      <w:pPr>
        <w:pStyle w:val="Prrafodelista"/>
        <w:numPr>
          <w:ilvl w:val="0"/>
          <w:numId w:val="5"/>
        </w:numPr>
        <w:pBdr>
          <w:top w:val="nil"/>
          <w:left w:val="nil"/>
          <w:bottom w:val="nil"/>
          <w:right w:val="nil"/>
          <w:between w:val="nil"/>
        </w:pBdr>
        <w:spacing w:after="100"/>
        <w:jc w:val="both"/>
        <w:rPr>
          <w:b/>
          <w:color w:val="0000A4"/>
          <w:sz w:val="21"/>
          <w:szCs w:val="21"/>
        </w:rPr>
      </w:pPr>
      <w:r w:rsidRPr="001271A2">
        <w:rPr>
          <w:color w:val="000000"/>
          <w:sz w:val="21"/>
          <w:szCs w:val="21"/>
        </w:rPr>
        <w:t>El módulo aprobacion (</w:t>
      </w:r>
      <w:r w:rsidR="001271A2" w:rsidRPr="001271A2">
        <w:rPr>
          <w:color w:val="000000"/>
          <w:sz w:val="21"/>
          <w:szCs w:val="21"/>
        </w:rPr>
        <w:t>lista paginada</w:t>
      </w:r>
      <w:r w:rsidRPr="001271A2">
        <w:rPr>
          <w:color w:val="000000"/>
          <w:sz w:val="21"/>
          <w:szCs w:val="21"/>
        </w:rPr>
        <w:t>, ruta supervision/aprobacion) permite a un aprobador revisar, aprobar o rechazar</w:t>
      </w:r>
      <w:r w:rsidR="001271A2">
        <w:rPr>
          <w:color w:val="000000"/>
          <w:sz w:val="21"/>
          <w:szCs w:val="21"/>
        </w:rPr>
        <w:t xml:space="preserve"> la plantilla</w:t>
      </w:r>
    </w:p>
    <w:p w14:paraId="47134F23" w14:textId="77777777" w:rsidR="005D7A1E" w:rsidRDefault="00000000">
      <w:pPr>
        <w:pBdr>
          <w:top w:val="nil"/>
          <w:left w:val="nil"/>
          <w:bottom w:val="nil"/>
          <w:right w:val="nil"/>
          <w:between w:val="nil"/>
        </w:pBdr>
        <w:spacing w:before="260" w:after="140"/>
      </w:pPr>
      <w:r>
        <w:rPr>
          <w:b/>
          <w:color w:val="0000A4"/>
          <w:sz w:val="30"/>
          <w:szCs w:val="30"/>
        </w:rPr>
        <w:t>5.2 Qué backend es dueño de qué</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5"/>
        <w:gridCol w:w="6131"/>
      </w:tblGrid>
      <w:tr w:rsidR="005D7A1E" w14:paraId="63F06E5A" w14:textId="77777777">
        <w:tc>
          <w:tcPr>
            <w:tcW w:w="1600" w:type="pct"/>
            <w:shd w:val="clear" w:color="auto" w:fill="0000A4"/>
            <w:tcMar>
              <w:top w:w="80" w:type="dxa"/>
              <w:left w:w="120" w:type="dxa"/>
              <w:bottom w:w="80" w:type="dxa"/>
              <w:right w:w="120" w:type="dxa"/>
            </w:tcMar>
          </w:tcPr>
          <w:p w14:paraId="4ACFD478" w14:textId="77777777" w:rsidR="005D7A1E" w:rsidRDefault="00000000">
            <w:pPr>
              <w:spacing w:line="240" w:lineRule="auto"/>
            </w:pPr>
            <w:r>
              <w:rPr>
                <w:b/>
                <w:color w:val="FFFFFF"/>
                <w:sz w:val="19"/>
                <w:szCs w:val="19"/>
              </w:rPr>
              <w:t>Backend</w:t>
            </w:r>
          </w:p>
        </w:tc>
        <w:tc>
          <w:tcPr>
            <w:tcW w:w="3400" w:type="pct"/>
            <w:shd w:val="clear" w:color="auto" w:fill="0000A4"/>
            <w:tcMar>
              <w:top w:w="80" w:type="dxa"/>
              <w:left w:w="120" w:type="dxa"/>
              <w:bottom w:w="80" w:type="dxa"/>
              <w:right w:w="120" w:type="dxa"/>
            </w:tcMar>
          </w:tcPr>
          <w:p w14:paraId="2216E8DF" w14:textId="77777777" w:rsidR="005D7A1E" w:rsidRDefault="00000000">
            <w:pPr>
              <w:spacing w:line="240" w:lineRule="auto"/>
            </w:pPr>
            <w:r>
              <w:rPr>
                <w:b/>
                <w:color w:val="FFFFFF"/>
                <w:sz w:val="19"/>
                <w:szCs w:val="19"/>
              </w:rPr>
              <w:t>Responsabilidad en este flujo</w:t>
            </w:r>
          </w:p>
        </w:tc>
      </w:tr>
      <w:tr w:rsidR="005D7A1E" w14:paraId="4944C955" w14:textId="77777777">
        <w:tc>
          <w:tcPr>
            <w:tcW w:w="1600" w:type="pct"/>
            <w:tcMar>
              <w:top w:w="80" w:type="dxa"/>
              <w:left w:w="120" w:type="dxa"/>
              <w:bottom w:w="80" w:type="dxa"/>
              <w:right w:w="120" w:type="dxa"/>
            </w:tcMar>
          </w:tcPr>
          <w:p w14:paraId="19C66D81" w14:textId="77777777" w:rsidR="005D7A1E" w:rsidRDefault="00000000">
            <w:pPr>
              <w:spacing w:line="240" w:lineRule="auto"/>
            </w:pPr>
            <w:r>
              <w:rPr>
                <w:color w:val="202020"/>
                <w:sz w:val="19"/>
                <w:szCs w:val="19"/>
              </w:rPr>
              <w:t>sri-anexos-estructura-service</w:t>
            </w:r>
          </w:p>
        </w:tc>
        <w:tc>
          <w:tcPr>
            <w:tcW w:w="3400" w:type="pct"/>
            <w:tcMar>
              <w:top w:w="80" w:type="dxa"/>
              <w:left w:w="120" w:type="dxa"/>
              <w:bottom w:w="80" w:type="dxa"/>
              <w:right w:w="120" w:type="dxa"/>
            </w:tcMar>
          </w:tcPr>
          <w:p w14:paraId="6C63BC89" w14:textId="77777777" w:rsidR="005D7A1E" w:rsidRDefault="00000000">
            <w:pPr>
              <w:spacing w:line="240" w:lineRule="auto"/>
            </w:pPr>
            <w:r>
              <w:rPr>
                <w:color w:val="202020"/>
                <w:sz w:val="19"/>
                <w:szCs w:val="19"/>
              </w:rPr>
              <w:t>Dueño del dato de la plantilla: crear, obtener, actualizar, duplicar, eliminar. También expone el arranque del flujo (solicitar revisión).</w:t>
            </w:r>
          </w:p>
        </w:tc>
      </w:tr>
      <w:tr w:rsidR="005D7A1E" w14:paraId="064CD491" w14:textId="77777777">
        <w:tc>
          <w:tcPr>
            <w:tcW w:w="1600" w:type="pct"/>
            <w:tcMar>
              <w:top w:w="80" w:type="dxa"/>
              <w:left w:w="120" w:type="dxa"/>
              <w:bottom w:w="80" w:type="dxa"/>
              <w:right w:w="120" w:type="dxa"/>
            </w:tcMar>
          </w:tcPr>
          <w:p w14:paraId="6EEC9B91" w14:textId="77777777" w:rsidR="005D7A1E" w:rsidRDefault="00000000">
            <w:pPr>
              <w:spacing w:line="240" w:lineRule="auto"/>
            </w:pPr>
            <w:r>
              <w:rPr>
                <w:color w:val="202020"/>
                <w:sz w:val="19"/>
                <w:szCs w:val="19"/>
              </w:rPr>
              <w:t>sri-anexos-habilitacion-service</w:t>
            </w:r>
          </w:p>
        </w:tc>
        <w:tc>
          <w:tcPr>
            <w:tcW w:w="3400" w:type="pct"/>
            <w:tcMar>
              <w:top w:w="80" w:type="dxa"/>
              <w:left w:w="120" w:type="dxa"/>
              <w:bottom w:w="80" w:type="dxa"/>
              <w:right w:w="120" w:type="dxa"/>
            </w:tcMar>
          </w:tcPr>
          <w:p w14:paraId="0618F3C7" w14:textId="77777777" w:rsidR="005D7A1E" w:rsidRDefault="00000000">
            <w:pPr>
              <w:spacing w:line="240" w:lineRule="auto"/>
            </w:pPr>
            <w:r>
              <w:rPr>
                <w:color w:val="202020"/>
                <w:sz w:val="19"/>
                <w:szCs w:val="19"/>
              </w:rPr>
              <w:t>Dueño de las transiciones de estado del flujo: aprobar, rechazar, publicar, e historial de cambios de estado.</w:t>
            </w:r>
          </w:p>
        </w:tc>
      </w:tr>
      <w:tr w:rsidR="005D7A1E" w14:paraId="4F06B889" w14:textId="77777777">
        <w:tc>
          <w:tcPr>
            <w:tcW w:w="1600" w:type="pct"/>
            <w:tcMar>
              <w:top w:w="80" w:type="dxa"/>
              <w:left w:w="120" w:type="dxa"/>
              <w:bottom w:w="80" w:type="dxa"/>
              <w:right w:w="120" w:type="dxa"/>
            </w:tcMar>
          </w:tcPr>
          <w:p w14:paraId="4C8365CA" w14:textId="77777777" w:rsidR="005D7A1E" w:rsidRDefault="00000000">
            <w:pPr>
              <w:spacing w:line="240" w:lineRule="auto"/>
            </w:pPr>
            <w:r>
              <w:rPr>
                <w:color w:val="202020"/>
                <w:sz w:val="19"/>
                <w:szCs w:val="19"/>
              </w:rPr>
              <w:t>sri-anexos-catalogos-service</w:t>
            </w:r>
          </w:p>
        </w:tc>
        <w:tc>
          <w:tcPr>
            <w:tcW w:w="3400" w:type="pct"/>
            <w:tcMar>
              <w:top w:w="80" w:type="dxa"/>
              <w:left w:w="120" w:type="dxa"/>
              <w:bottom w:w="80" w:type="dxa"/>
              <w:right w:w="120" w:type="dxa"/>
            </w:tcMar>
          </w:tcPr>
          <w:p w14:paraId="67E4C92D" w14:textId="77777777" w:rsidR="005D7A1E" w:rsidRDefault="00000000">
            <w:pPr>
              <w:spacing w:line="240" w:lineRule="auto"/>
            </w:pPr>
            <w:r>
              <w:rPr>
                <w:color w:val="202020"/>
                <w:sz w:val="19"/>
                <w:szCs w:val="19"/>
              </w:rPr>
              <w:t>Provee catálogos de apoyo, como los "operativos" asociados al usuario.</w:t>
            </w:r>
          </w:p>
        </w:tc>
      </w:tr>
    </w:tbl>
    <w:p w14:paraId="4FE23CE8" w14:textId="77777777" w:rsidR="005D7A1E" w:rsidRDefault="005D7A1E">
      <w:pPr>
        <w:spacing w:after="160"/>
      </w:pPr>
    </w:p>
    <w:p w14:paraId="354761A8" w14:textId="77777777" w:rsidR="005D7A1E" w:rsidRDefault="00000000">
      <w:pPr>
        <w:pBdr>
          <w:top w:val="nil"/>
          <w:left w:val="nil"/>
          <w:bottom w:val="nil"/>
          <w:right w:val="nil"/>
          <w:between w:val="nil"/>
        </w:pBdr>
        <w:spacing w:before="260" w:after="140"/>
      </w:pPr>
      <w:r>
        <w:rPr>
          <w:b/>
          <w:color w:val="0000A4"/>
          <w:sz w:val="30"/>
          <w:szCs w:val="30"/>
        </w:rPr>
        <w:t>5.3 Estados de una plantilla</w:t>
      </w:r>
    </w:p>
    <w:p w14:paraId="0E7A278D" w14:textId="77777777" w:rsidR="005D7A1E" w:rsidRDefault="00000000">
      <w:pPr>
        <w:shd w:val="clear" w:color="auto" w:fill="F2F2F2"/>
        <w:spacing w:after="160" w:line="240" w:lineRule="auto"/>
        <w:ind w:left="120"/>
      </w:pPr>
      <w:r>
        <w:rPr>
          <w:rFonts w:ascii="Consolas" w:hAnsi="Consolas" w:cs="Consolas"/>
          <w:color w:val="333333"/>
          <w:sz w:val="18"/>
        </w:rPr>
        <w:t>CON (Construccion) -&gt; MOD (Modificacion) -&gt; REV (En revision) -&gt; APR (Aprobada) / MOD (Rechazada) -&gt; PUB (Publicada)</w:t>
      </w:r>
    </w:p>
    <w:p w14:paraId="7F4C0491" w14:textId="77777777" w:rsidR="005D7A1E" w:rsidRDefault="00000000">
      <w:pPr>
        <w:pBdr>
          <w:top w:val="nil"/>
          <w:left w:val="nil"/>
          <w:bottom w:val="nil"/>
          <w:right w:val="nil"/>
          <w:between w:val="nil"/>
        </w:pBdr>
        <w:spacing w:after="160"/>
        <w:jc w:val="both"/>
      </w:pPr>
      <w:r>
        <w:rPr>
          <w:color w:val="000000"/>
        </w:rPr>
        <w:t>El frontend (PlantillaServicio.ts y AprobacionServicio.ts) invoca las acciones de transición (solicitar revisión, aprobar, rechazar, publicar) contra sri-anexos-habilitacion-service. No son endpoints duplicados con sri-anexos-estructura-service: son dos microservicios que se comunican internamente entre sí para completar la operación — el detalle completo de esa comunicación está en la sección 6.</w:t>
      </w:r>
    </w:p>
    <w:p w14:paraId="22581F4C" w14:textId="77777777" w:rsidR="005D7A1E" w:rsidRDefault="00000000">
      <w:pPr>
        <w:pBdr>
          <w:top w:val="nil"/>
          <w:left w:val="nil"/>
          <w:bottom w:val="nil"/>
          <w:right w:val="nil"/>
          <w:between w:val="nil"/>
        </w:pBdr>
        <w:spacing w:before="360" w:after="200"/>
      </w:pPr>
      <w:r>
        <w:rPr>
          <w:b/>
          <w:color w:val="0000A4"/>
          <w:sz w:val="44"/>
          <w:szCs w:val="44"/>
        </w:rPr>
        <w:t>6. Comunicación interna entre microservicios</w:t>
      </w:r>
    </w:p>
    <w:p w14:paraId="29B55A63" w14:textId="77777777" w:rsidR="005D7A1E" w:rsidRDefault="00000000">
      <w:pPr>
        <w:pBdr>
          <w:top w:val="nil"/>
          <w:left w:val="nil"/>
          <w:bottom w:val="nil"/>
          <w:right w:val="nil"/>
          <w:between w:val="nil"/>
        </w:pBdr>
        <w:spacing w:after="160"/>
        <w:jc w:val="both"/>
      </w:pPr>
      <w:r>
        <w:rPr>
          <w:color w:val="000000"/>
        </w:rPr>
        <w:t xml:space="preserve">Además de recibir llamadas del frontend, algunos de estos backends se llaman entre sí directamente (servicio a servicio), usando MicroProfile Rest Client. Cada llamada interna propaga el token de acceso (anotación @AccessToken) y está protegida con reintentos, circuit breaker y fallback (MicroProfile Fault Tolerance), para degradarse de forma controlada </w:t>
      </w:r>
      <w:r>
        <w:rPr>
          <w:color w:val="000000"/>
        </w:rPr>
        <w:lastRenderedPageBreak/>
        <w:t>si el servicio remoto no responde. Esto se verificó leyendo directamente el código de los paquetes infrastructure/remote de cada servicio, no se trata de una suposición.</w:t>
      </w:r>
    </w:p>
    <w:p w14:paraId="2D594F26" w14:textId="77777777" w:rsidR="005D7A1E" w:rsidRDefault="00000000">
      <w:pPr>
        <w:pBdr>
          <w:top w:val="nil"/>
          <w:left w:val="nil"/>
          <w:bottom w:val="nil"/>
          <w:right w:val="nil"/>
          <w:between w:val="nil"/>
        </w:pBdr>
        <w:spacing w:before="260" w:after="140"/>
      </w:pPr>
      <w:r>
        <w:rPr>
          <w:b/>
          <w:color w:val="0000A4"/>
          <w:sz w:val="30"/>
          <w:szCs w:val="30"/>
        </w:rPr>
        <w:t>6.1 Mapa de comunicaciones confirmadas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4"/>
        <w:gridCol w:w="1623"/>
        <w:gridCol w:w="5049"/>
      </w:tblGrid>
      <w:tr w:rsidR="005D7A1E" w14:paraId="1AF58F00" w14:textId="77777777">
        <w:tc>
          <w:tcPr>
            <w:tcW w:w="1300" w:type="pct"/>
            <w:shd w:val="clear" w:color="auto" w:fill="0000A4"/>
            <w:tcMar>
              <w:top w:w="80" w:type="dxa"/>
              <w:left w:w="120" w:type="dxa"/>
              <w:bottom w:w="80" w:type="dxa"/>
              <w:right w:w="120" w:type="dxa"/>
            </w:tcMar>
          </w:tcPr>
          <w:p w14:paraId="563E2DB5" w14:textId="77777777" w:rsidR="005D7A1E" w:rsidRDefault="00000000">
            <w:pPr>
              <w:spacing w:line="240" w:lineRule="auto"/>
            </w:pPr>
            <w:r>
              <w:rPr>
                <w:b/>
                <w:color w:val="FFFFFF"/>
                <w:sz w:val="19"/>
                <w:szCs w:val="19"/>
              </w:rPr>
              <w:t>Origen -&gt; Destino</w:t>
            </w:r>
          </w:p>
        </w:tc>
        <w:tc>
          <w:tcPr>
            <w:tcW w:w="900" w:type="pct"/>
            <w:shd w:val="clear" w:color="auto" w:fill="0000A4"/>
            <w:tcMar>
              <w:top w:w="80" w:type="dxa"/>
              <w:left w:w="120" w:type="dxa"/>
              <w:bottom w:w="80" w:type="dxa"/>
              <w:right w:w="120" w:type="dxa"/>
            </w:tcMar>
          </w:tcPr>
          <w:p w14:paraId="2A6C6ED8" w14:textId="77777777" w:rsidR="005D7A1E" w:rsidRDefault="00000000">
            <w:pPr>
              <w:spacing w:line="240" w:lineRule="auto"/>
            </w:pPr>
            <w:r>
              <w:rPr>
                <w:b/>
                <w:color w:val="FFFFFF"/>
                <w:sz w:val="19"/>
                <w:szCs w:val="19"/>
              </w:rPr>
              <w:t>Config key</w:t>
            </w:r>
          </w:p>
        </w:tc>
        <w:tc>
          <w:tcPr>
            <w:tcW w:w="2800" w:type="pct"/>
            <w:shd w:val="clear" w:color="auto" w:fill="0000A4"/>
            <w:tcMar>
              <w:top w:w="80" w:type="dxa"/>
              <w:left w:w="120" w:type="dxa"/>
              <w:bottom w:w="80" w:type="dxa"/>
              <w:right w:w="120" w:type="dxa"/>
            </w:tcMar>
          </w:tcPr>
          <w:p w14:paraId="1CE51223" w14:textId="77777777" w:rsidR="005D7A1E" w:rsidRDefault="00000000">
            <w:pPr>
              <w:spacing w:line="240" w:lineRule="auto"/>
            </w:pPr>
            <w:r>
              <w:rPr>
                <w:b/>
                <w:color w:val="FFFFFF"/>
                <w:sz w:val="19"/>
                <w:szCs w:val="19"/>
              </w:rPr>
              <w:t>Propósito</w:t>
            </w:r>
          </w:p>
        </w:tc>
      </w:tr>
      <w:tr w:rsidR="005D7A1E" w14:paraId="1E099366" w14:textId="77777777">
        <w:tc>
          <w:tcPr>
            <w:tcW w:w="1300" w:type="pct"/>
            <w:tcMar>
              <w:top w:w="80" w:type="dxa"/>
              <w:left w:w="120" w:type="dxa"/>
              <w:bottom w:w="80" w:type="dxa"/>
              <w:right w:w="120" w:type="dxa"/>
            </w:tcMar>
          </w:tcPr>
          <w:p w14:paraId="597BB503" w14:textId="77777777" w:rsidR="005D7A1E" w:rsidRDefault="00000000">
            <w:pPr>
              <w:spacing w:line="240" w:lineRule="auto"/>
            </w:pPr>
            <w:r>
              <w:rPr>
                <w:color w:val="202020"/>
                <w:sz w:val="19"/>
                <w:szCs w:val="19"/>
              </w:rPr>
              <w:t>habilitación -&gt; estructura</w:t>
            </w:r>
          </w:p>
        </w:tc>
        <w:tc>
          <w:tcPr>
            <w:tcW w:w="900" w:type="pct"/>
            <w:tcMar>
              <w:top w:w="80" w:type="dxa"/>
              <w:left w:w="120" w:type="dxa"/>
              <w:bottom w:w="80" w:type="dxa"/>
              <w:right w:w="120" w:type="dxa"/>
            </w:tcMar>
          </w:tcPr>
          <w:p w14:paraId="79DC0EE6" w14:textId="77777777" w:rsidR="005D7A1E" w:rsidRDefault="00000000">
            <w:pPr>
              <w:spacing w:line="240" w:lineRule="auto"/>
            </w:pPr>
            <w:r>
              <w:rPr>
                <w:color w:val="202020"/>
                <w:sz w:val="19"/>
                <w:szCs w:val="19"/>
              </w:rPr>
              <w:t>estructura-api</w:t>
            </w:r>
          </w:p>
        </w:tc>
        <w:tc>
          <w:tcPr>
            <w:tcW w:w="2800" w:type="pct"/>
            <w:tcMar>
              <w:top w:w="80" w:type="dxa"/>
              <w:left w:w="120" w:type="dxa"/>
              <w:bottom w:w="80" w:type="dxa"/>
              <w:right w:w="120" w:type="dxa"/>
            </w:tcMar>
          </w:tcPr>
          <w:p w14:paraId="0A349375" w14:textId="77777777" w:rsidR="005D7A1E" w:rsidRDefault="00000000">
            <w:pPr>
              <w:spacing w:line="240" w:lineRule="auto"/>
            </w:pPr>
            <w:r>
              <w:rPr>
                <w:color w:val="202020"/>
                <w:sz w:val="19"/>
                <w:szCs w:val="19"/>
              </w:rPr>
              <w:t>Al aprobar/rechazar/publicar/solicitar revisión/duplicar (GanPlantillaRemoteClient), habilitación llama de vuelta a estructura para ejecutar el cambio real sobre la plantilla, ya que estructura es la dueña del dato. Uso activo confirmado.</w:t>
            </w:r>
          </w:p>
        </w:tc>
      </w:tr>
      <w:tr w:rsidR="005D7A1E" w14:paraId="08F93DD0" w14:textId="77777777">
        <w:tc>
          <w:tcPr>
            <w:tcW w:w="1300" w:type="pct"/>
            <w:tcMar>
              <w:top w:w="80" w:type="dxa"/>
              <w:left w:w="120" w:type="dxa"/>
              <w:bottom w:w="80" w:type="dxa"/>
              <w:right w:w="120" w:type="dxa"/>
            </w:tcMar>
          </w:tcPr>
          <w:p w14:paraId="706863C1" w14:textId="77777777" w:rsidR="005D7A1E" w:rsidRDefault="00000000">
            <w:pPr>
              <w:spacing w:line="240" w:lineRule="auto"/>
            </w:pPr>
            <w:r>
              <w:rPr>
                <w:color w:val="202020"/>
                <w:sz w:val="19"/>
                <w:szCs w:val="19"/>
              </w:rPr>
              <w:t>estructura -&gt; habilitación</w:t>
            </w:r>
          </w:p>
        </w:tc>
        <w:tc>
          <w:tcPr>
            <w:tcW w:w="900" w:type="pct"/>
            <w:tcMar>
              <w:top w:w="80" w:type="dxa"/>
              <w:left w:w="120" w:type="dxa"/>
              <w:bottom w:w="80" w:type="dxa"/>
              <w:right w:w="120" w:type="dxa"/>
            </w:tcMar>
          </w:tcPr>
          <w:p w14:paraId="6FC7C9B0" w14:textId="77777777" w:rsidR="005D7A1E" w:rsidRDefault="00000000">
            <w:pPr>
              <w:spacing w:line="240" w:lineRule="auto"/>
            </w:pPr>
            <w:r>
              <w:rPr>
                <w:color w:val="202020"/>
                <w:sz w:val="19"/>
                <w:szCs w:val="19"/>
              </w:rPr>
              <w:t>habilitacion-api</w:t>
            </w:r>
          </w:p>
        </w:tc>
        <w:tc>
          <w:tcPr>
            <w:tcW w:w="2800" w:type="pct"/>
            <w:tcMar>
              <w:top w:w="80" w:type="dxa"/>
              <w:left w:w="120" w:type="dxa"/>
              <w:bottom w:w="80" w:type="dxa"/>
              <w:right w:w="120" w:type="dxa"/>
            </w:tcMar>
          </w:tcPr>
          <w:p w14:paraId="5E915867" w14:textId="77777777" w:rsidR="005D7A1E" w:rsidRDefault="00000000">
            <w:pPr>
              <w:spacing w:line="240" w:lineRule="auto"/>
            </w:pPr>
            <w:r>
              <w:rPr>
                <w:color w:val="202020"/>
                <w:sz w:val="19"/>
                <w:szCs w:val="19"/>
              </w:rPr>
              <w:t>Cliente construido para registrar y consultar historial de estado (GanHistorialRemoteClient) desde estructura. Tiene pruebas unitarias dedicadas y fue modificado hace apenas 2 días — no se encontró invocación activa desde application/service, lo que sugiere desarrollo en curso más que código muerto. A confirmar con el equipo.</w:t>
            </w:r>
          </w:p>
        </w:tc>
      </w:tr>
      <w:tr w:rsidR="005D7A1E" w14:paraId="056D709C" w14:textId="77777777">
        <w:tc>
          <w:tcPr>
            <w:tcW w:w="1300" w:type="pct"/>
            <w:tcMar>
              <w:top w:w="80" w:type="dxa"/>
              <w:left w:w="120" w:type="dxa"/>
              <w:bottom w:w="80" w:type="dxa"/>
              <w:right w:w="120" w:type="dxa"/>
            </w:tcMar>
          </w:tcPr>
          <w:p w14:paraId="5CC51899" w14:textId="77777777" w:rsidR="005D7A1E" w:rsidRDefault="00000000">
            <w:pPr>
              <w:spacing w:line="240" w:lineRule="auto"/>
            </w:pPr>
            <w:r>
              <w:rPr>
                <w:color w:val="202020"/>
                <w:sz w:val="19"/>
                <w:szCs w:val="19"/>
              </w:rPr>
              <w:t>estructura -&gt; catálogos</w:t>
            </w:r>
          </w:p>
        </w:tc>
        <w:tc>
          <w:tcPr>
            <w:tcW w:w="900" w:type="pct"/>
            <w:tcMar>
              <w:top w:w="80" w:type="dxa"/>
              <w:left w:w="120" w:type="dxa"/>
              <w:bottom w:w="80" w:type="dxa"/>
              <w:right w:w="120" w:type="dxa"/>
            </w:tcMar>
          </w:tcPr>
          <w:p w14:paraId="104D7CBA" w14:textId="77777777" w:rsidR="005D7A1E" w:rsidRDefault="00000000">
            <w:pPr>
              <w:spacing w:line="240" w:lineRule="auto"/>
            </w:pPr>
            <w:r>
              <w:rPr>
                <w:color w:val="202020"/>
                <w:sz w:val="19"/>
                <w:szCs w:val="19"/>
              </w:rPr>
              <w:t>catalogos-api</w:t>
            </w:r>
          </w:p>
        </w:tc>
        <w:tc>
          <w:tcPr>
            <w:tcW w:w="2800" w:type="pct"/>
            <w:tcMar>
              <w:top w:w="80" w:type="dxa"/>
              <w:left w:w="120" w:type="dxa"/>
              <w:bottom w:w="80" w:type="dxa"/>
              <w:right w:w="120" w:type="dxa"/>
            </w:tcMar>
          </w:tcPr>
          <w:p w14:paraId="07B6A891" w14:textId="77777777" w:rsidR="005D7A1E" w:rsidRDefault="00000000">
            <w:pPr>
              <w:spacing w:line="240" w:lineRule="auto"/>
            </w:pPr>
            <w:r>
              <w:rPr>
                <w:color w:val="202020"/>
                <w:sz w:val="19"/>
                <w:szCs w:val="19"/>
              </w:rPr>
              <w:t>Tres clientes hacia sri-anexos-catalogos-service: catálogos-detalles, operativos (GanOperativoRemoteClient) y usuarios-anexos (GanUsuarioAnexoRemoteClient). Uso activo confirmado.</w:t>
            </w:r>
          </w:p>
        </w:tc>
      </w:tr>
      <w:tr w:rsidR="005D7A1E" w14:paraId="2F1D3462" w14:textId="77777777">
        <w:tc>
          <w:tcPr>
            <w:tcW w:w="1300" w:type="pct"/>
            <w:tcMar>
              <w:top w:w="80" w:type="dxa"/>
              <w:left w:w="120" w:type="dxa"/>
              <w:bottom w:w="80" w:type="dxa"/>
              <w:right w:w="120" w:type="dxa"/>
            </w:tcMar>
          </w:tcPr>
          <w:p w14:paraId="5285D169" w14:textId="77777777" w:rsidR="005D7A1E" w:rsidRDefault="00000000">
            <w:pPr>
              <w:spacing w:line="240" w:lineRule="auto"/>
            </w:pPr>
            <w:r>
              <w:rPr>
                <w:color w:val="202020"/>
                <w:sz w:val="19"/>
                <w:szCs w:val="19"/>
              </w:rPr>
              <w:t>estructura -&gt; alertas/avisos</w:t>
            </w:r>
          </w:p>
        </w:tc>
        <w:tc>
          <w:tcPr>
            <w:tcW w:w="900" w:type="pct"/>
            <w:tcMar>
              <w:top w:w="80" w:type="dxa"/>
              <w:left w:w="120" w:type="dxa"/>
              <w:bottom w:w="80" w:type="dxa"/>
              <w:right w:w="120" w:type="dxa"/>
            </w:tcMar>
          </w:tcPr>
          <w:p w14:paraId="72BF8095" w14:textId="77777777" w:rsidR="005D7A1E" w:rsidRDefault="00000000">
            <w:pPr>
              <w:spacing w:line="240" w:lineRule="auto"/>
            </w:pPr>
            <w:r>
              <w:rPr>
                <w:color w:val="202020"/>
                <w:sz w:val="19"/>
                <w:szCs w:val="19"/>
              </w:rPr>
              <w:t>alertas-avisos-api</w:t>
            </w:r>
          </w:p>
        </w:tc>
        <w:tc>
          <w:tcPr>
            <w:tcW w:w="2800" w:type="pct"/>
            <w:tcMar>
              <w:top w:w="80" w:type="dxa"/>
              <w:left w:w="120" w:type="dxa"/>
              <w:bottom w:w="80" w:type="dxa"/>
              <w:right w:w="120" w:type="dxa"/>
            </w:tcMar>
          </w:tcPr>
          <w:p w14:paraId="37B4D35C" w14:textId="77777777" w:rsidR="005D7A1E" w:rsidRDefault="00000000">
            <w:pPr>
              <w:spacing w:line="240" w:lineRule="auto"/>
            </w:pPr>
            <w:r>
              <w:rPr>
                <w:color w:val="202020"/>
                <w:sz w:val="19"/>
                <w:szCs w:val="19"/>
              </w:rPr>
              <w:t>Envío de notificaciones (GanAlertasAvisosRestClient). Es un sistema externo, fuera de los 4 microservicios GAN.</w:t>
            </w:r>
          </w:p>
        </w:tc>
      </w:tr>
      <w:tr w:rsidR="005D7A1E" w14:paraId="02893CA8" w14:textId="77777777">
        <w:tc>
          <w:tcPr>
            <w:tcW w:w="1300" w:type="pct"/>
            <w:tcMar>
              <w:top w:w="80" w:type="dxa"/>
              <w:left w:w="120" w:type="dxa"/>
              <w:bottom w:w="80" w:type="dxa"/>
              <w:right w:w="120" w:type="dxa"/>
            </w:tcMar>
          </w:tcPr>
          <w:p w14:paraId="0E6F63C7" w14:textId="77777777" w:rsidR="005D7A1E" w:rsidRDefault="00000000">
            <w:pPr>
              <w:spacing w:line="240" w:lineRule="auto"/>
            </w:pPr>
            <w:r>
              <w:rPr>
                <w:color w:val="202020"/>
                <w:sz w:val="19"/>
                <w:szCs w:val="19"/>
              </w:rPr>
              <w:t>catálogos -&gt; administración de aplicaciones</w:t>
            </w:r>
          </w:p>
        </w:tc>
        <w:tc>
          <w:tcPr>
            <w:tcW w:w="900" w:type="pct"/>
            <w:tcMar>
              <w:top w:w="80" w:type="dxa"/>
              <w:left w:w="120" w:type="dxa"/>
              <w:bottom w:w="80" w:type="dxa"/>
              <w:right w:w="120" w:type="dxa"/>
            </w:tcMar>
          </w:tcPr>
          <w:p w14:paraId="62538A67" w14:textId="77777777" w:rsidR="005D7A1E" w:rsidRDefault="00000000">
            <w:pPr>
              <w:spacing w:line="240" w:lineRule="auto"/>
            </w:pPr>
            <w:r>
              <w:rPr>
                <w:color w:val="202020"/>
                <w:sz w:val="19"/>
                <w:szCs w:val="19"/>
              </w:rPr>
              <w:t>adm-aplicacion</w:t>
            </w:r>
          </w:p>
        </w:tc>
        <w:tc>
          <w:tcPr>
            <w:tcW w:w="2800" w:type="pct"/>
            <w:tcMar>
              <w:top w:w="80" w:type="dxa"/>
              <w:left w:w="120" w:type="dxa"/>
              <w:bottom w:w="80" w:type="dxa"/>
              <w:right w:w="120" w:type="dxa"/>
            </w:tcMar>
          </w:tcPr>
          <w:p w14:paraId="39F18BB4" w14:textId="77777777" w:rsidR="005D7A1E" w:rsidRDefault="00000000">
            <w:pPr>
              <w:spacing w:line="240" w:lineRule="auto"/>
            </w:pPr>
            <w:r>
              <w:rPr>
                <w:color w:val="202020"/>
                <w:sz w:val="19"/>
                <w:szCs w:val="19"/>
              </w:rPr>
              <w:t>sri-anexos-catalogos-service consulta parámetros de ambiente (ParametroAmbienteRemoteClient) a un sistema externo de administración de aplicaciones (CATALOGO_ADM_SERVICE_URL). Es el mismo sistema al que apunta VITE_CATALOGO_ADM_URL del frontend.</w:t>
            </w:r>
          </w:p>
        </w:tc>
      </w:tr>
      <w:tr w:rsidR="005D7A1E" w14:paraId="6DE65BE4" w14:textId="77777777">
        <w:tc>
          <w:tcPr>
            <w:tcW w:w="1300" w:type="pct"/>
            <w:tcMar>
              <w:top w:w="80" w:type="dxa"/>
              <w:left w:w="120" w:type="dxa"/>
              <w:bottom w:w="80" w:type="dxa"/>
              <w:right w:w="120" w:type="dxa"/>
            </w:tcMar>
          </w:tcPr>
          <w:p w14:paraId="65E89859" w14:textId="77777777" w:rsidR="005D7A1E" w:rsidRDefault="00000000">
            <w:pPr>
              <w:spacing w:line="240" w:lineRule="auto"/>
            </w:pPr>
            <w:r>
              <w:rPr>
                <w:color w:val="202020"/>
                <w:sz w:val="19"/>
                <w:szCs w:val="19"/>
              </w:rPr>
              <w:t>autorización</w:t>
            </w:r>
          </w:p>
        </w:tc>
        <w:tc>
          <w:tcPr>
            <w:tcW w:w="900" w:type="pct"/>
            <w:tcMar>
              <w:top w:w="80" w:type="dxa"/>
              <w:left w:w="120" w:type="dxa"/>
              <w:bottom w:w="80" w:type="dxa"/>
              <w:right w:w="120" w:type="dxa"/>
            </w:tcMar>
          </w:tcPr>
          <w:p w14:paraId="27298BB1" w14:textId="77777777" w:rsidR="005D7A1E" w:rsidRDefault="00000000">
            <w:pPr>
              <w:spacing w:line="240" w:lineRule="auto"/>
            </w:pPr>
            <w:r>
              <w:rPr>
                <w:color w:val="202020"/>
                <w:sz w:val="19"/>
                <w:szCs w:val="19"/>
              </w:rPr>
              <w:t>—</w:t>
            </w:r>
          </w:p>
        </w:tc>
        <w:tc>
          <w:tcPr>
            <w:tcW w:w="2800" w:type="pct"/>
            <w:tcMar>
              <w:top w:w="80" w:type="dxa"/>
              <w:left w:w="120" w:type="dxa"/>
              <w:bottom w:w="80" w:type="dxa"/>
              <w:right w:w="120" w:type="dxa"/>
            </w:tcMar>
          </w:tcPr>
          <w:p w14:paraId="7FE0CB5B" w14:textId="77777777" w:rsidR="005D7A1E" w:rsidRDefault="00000000">
            <w:pPr>
              <w:spacing w:line="240" w:lineRule="auto"/>
            </w:pPr>
            <w:r>
              <w:rPr>
                <w:color w:val="202020"/>
                <w:sz w:val="19"/>
                <w:szCs w:val="19"/>
              </w:rPr>
              <w:t>No se encontró ningún paquete infrastructure/remote en este servicio: solo recibe llamadas (del frontend), no llama a otros microservicios.</w:t>
            </w:r>
          </w:p>
        </w:tc>
      </w:tr>
    </w:tbl>
    <w:p w14:paraId="39602128" w14:textId="77777777" w:rsidR="005D7A1E" w:rsidRDefault="005D7A1E">
      <w:pPr>
        <w:spacing w:after="160"/>
      </w:pPr>
    </w:p>
    <w:p w14:paraId="37E4C197" w14:textId="77777777" w:rsidR="005D7A1E" w:rsidRDefault="00000000">
      <w:pPr>
        <w:pBdr>
          <w:top w:val="nil"/>
          <w:left w:val="nil"/>
          <w:bottom w:val="nil"/>
          <w:right w:val="nil"/>
          <w:between w:val="nil"/>
        </w:pBdr>
        <w:spacing w:before="260" w:after="140"/>
      </w:pPr>
      <w:r>
        <w:rPr>
          <w:b/>
          <w:color w:val="0000A4"/>
          <w:sz w:val="30"/>
          <w:szCs w:val="30"/>
        </w:rPr>
        <w:t>6.2 El caso concreto del flujo de aprobación</w:t>
      </w:r>
    </w:p>
    <w:p w14:paraId="5DE39153"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El frontend llama a las transiciones de estado (solicitar revisión, aprobar, rechazar, publicar) sobre sri-anexos-habilitacion-service.</w:t>
      </w:r>
    </w:p>
    <w:p w14:paraId="7E4B0453"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Habilitación valida la transición y llama internamente a estructura (GanPlantillaRemoteService -&gt; GanPlantillaRemoteClient, con reintentos y circuit breaker) para que sea estructura quien efectivamente actualice el estado en su tabla GAN_PLANTILLA.</w:t>
      </w:r>
    </w:p>
    <w:p w14:paraId="1EF1E8ED"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En paralelo, habilitación registra el evento en su propia tabla de historial (GAN_ESTADO_PLANTILLA_HISTORIAL), que es local a ese servicio.</w:t>
      </w:r>
    </w:p>
    <w:p w14:paraId="4181A0D7"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Estructura además expone sus propios endpoints con la misma forma (/plantillas/{codigo}/solicita-revision, aprueba, rechaza, publica). No son código copiado por error: existen y responden. Lo que no se pudo confirmar es si actualmente los usa algún cliente activo aparte de habilitación — se recomienda confirmarlo con el equipo.</w:t>
      </w:r>
    </w:p>
    <w:p w14:paraId="250442A8" w14:textId="77777777" w:rsidR="005D7A1E" w:rsidRDefault="00000000">
      <w:pPr>
        <w:pBdr>
          <w:left w:val="single" w:sz="18" w:space="8" w:color="0000A4"/>
        </w:pBdr>
        <w:shd w:val="clear" w:color="auto" w:fill="E9E8F8"/>
        <w:spacing w:before="120" w:after="220"/>
        <w:ind w:left="140"/>
        <w:jc w:val="both"/>
      </w:pPr>
      <w:r>
        <w:rPr>
          <w:b/>
          <w:color w:val="0000A4"/>
          <w:sz w:val="20"/>
          <w:szCs w:val="20"/>
        </w:rPr>
        <w:t xml:space="preserve">En síntesis: </w:t>
      </w:r>
      <w:r>
        <w:rPr>
          <w:color w:val="000000"/>
          <w:sz w:val="20"/>
          <w:szCs w:val="20"/>
        </w:rPr>
        <w:t xml:space="preserve">Habilitación es quien orquesta el flujo de aprobación de cara al frontend, pero delega </w:t>
      </w:r>
      <w:r>
        <w:rPr>
          <w:color w:val="000000"/>
          <w:sz w:val="20"/>
          <w:szCs w:val="20"/>
        </w:rPr>
        <w:lastRenderedPageBreak/>
        <w:t>en estructura la escritura del dato porque estructura es la dueña de la plantilla. No hay duplicación de lógica de negocio entre ambos: hay una separación de responsabilidades (workflow/historial vs. dato maestro) coordinada por llamadas internas.</w:t>
      </w:r>
    </w:p>
    <w:p w14:paraId="2F7DE5BF" w14:textId="77777777" w:rsidR="005D7A1E" w:rsidRDefault="00000000">
      <w:pPr>
        <w:pBdr>
          <w:top w:val="nil"/>
          <w:left w:val="nil"/>
          <w:bottom w:val="nil"/>
          <w:right w:val="nil"/>
          <w:between w:val="nil"/>
        </w:pBdr>
        <w:spacing w:before="360" w:after="200"/>
      </w:pPr>
      <w:r>
        <w:rPr>
          <w:b/>
          <w:color w:val="0000A4"/>
          <w:sz w:val="44"/>
          <w:szCs w:val="44"/>
        </w:rPr>
        <w:t>7. Integración SSO, Keycloak y esquema bearer-only</w:t>
      </w:r>
    </w:p>
    <w:p w14:paraId="0BE3AB81" w14:textId="77777777" w:rsidR="005D7A1E" w:rsidRDefault="00000000">
      <w:pPr>
        <w:pBdr>
          <w:top w:val="nil"/>
          <w:left w:val="nil"/>
          <w:bottom w:val="nil"/>
          <w:right w:val="nil"/>
          <w:between w:val="nil"/>
        </w:pBdr>
        <w:spacing w:after="160"/>
        <w:jc w:val="both"/>
      </w:pPr>
      <w:r>
        <w:rPr>
          <w:color w:val="000000"/>
        </w:rPr>
        <w:t>Todo el sistema se autentica contra un único proveedor de identidad: Keycloak, en el realm "Intranet" del SRI. Sin embargo, el frontend y los backends usan dos modos de cliente distintos y complementarios.</w:t>
      </w:r>
    </w:p>
    <w:p w14:paraId="3837228B" w14:textId="77777777" w:rsidR="005D7A1E" w:rsidRDefault="00000000">
      <w:pPr>
        <w:pBdr>
          <w:top w:val="nil"/>
          <w:left w:val="nil"/>
          <w:bottom w:val="nil"/>
          <w:right w:val="nil"/>
          <w:between w:val="nil"/>
        </w:pBdr>
        <w:spacing w:before="260" w:after="140"/>
      </w:pPr>
      <w:r>
        <w:rPr>
          <w:b/>
          <w:color w:val="0000A4"/>
          <w:sz w:val="30"/>
          <w:szCs w:val="30"/>
        </w:rPr>
        <w:t>7.1 Frontend: cliente interactivo (login-required)</w:t>
      </w:r>
    </w:p>
    <w:p w14:paraId="36350E8E"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El cliente Keycloak del frontend se inicializa con onLoad: 'login-required': si no hay sesión activa, el navegador es redirigido a la pantalla de login de Keycloak antes de mostrar la aplicación.</w:t>
      </w:r>
    </w:p>
    <w:p w14:paraId="2C7C322E"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TokenInterceptor.js renueva el token en cada petición (keycloak.updateToken) y agrega la cabecera Authorization: Bearer &lt;token&gt; a cada llamada Axios hacia los backends. Si el token no puede renovarse o el backend responde 401, se fuerza un nuevo login.</w:t>
      </w:r>
    </w:p>
    <w:p w14:paraId="339DEB53"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El identificador de cliente y el servidor SSO cambian según el ambiente (variables VITE_CLIENTE_SSO y VITE_SERVIDOR_SSO en los archivos .env, .env.development, .env.production).</w:t>
      </w:r>
    </w:p>
    <w:p w14:paraId="4C59961C"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Existe un detector de inactividad (v-idle-3, configurado con VITE_TIEMPO_INACTIVIDAD_USUARIO) pensado para cerrar sesión tras un período sin actividad del usuario.</w:t>
      </w:r>
    </w:p>
    <w:p w14:paraId="23E08A8A" w14:textId="77777777" w:rsidR="005D7A1E" w:rsidRDefault="00000000">
      <w:pPr>
        <w:pBdr>
          <w:top w:val="nil"/>
          <w:left w:val="nil"/>
          <w:bottom w:val="nil"/>
          <w:right w:val="nil"/>
          <w:between w:val="nil"/>
        </w:pBdr>
        <w:spacing w:before="260" w:after="140"/>
      </w:pPr>
      <w:r>
        <w:rPr>
          <w:b/>
          <w:color w:val="0000A4"/>
          <w:sz w:val="30"/>
          <w:szCs w:val="30"/>
        </w:rPr>
        <w:t>7.2 Backends: clientes bearer-only</w:t>
      </w:r>
    </w:p>
    <w:p w14:paraId="782F85DA" w14:textId="77777777" w:rsidR="005D7A1E" w:rsidRDefault="00000000">
      <w:pPr>
        <w:pBdr>
          <w:top w:val="nil"/>
          <w:left w:val="nil"/>
          <w:bottom w:val="nil"/>
          <w:right w:val="nil"/>
          <w:between w:val="nil"/>
        </w:pBdr>
        <w:spacing w:after="160"/>
        <w:jc w:val="both"/>
      </w:pPr>
      <w:r>
        <w:rPr>
          <w:color w:val="000000"/>
        </w:rPr>
        <w:t>Los microservicios backend no manejan pantallas de login: actúan como "resource server" puro. En Quarkus esto se configura con quarkus.oidc.application-type=service, que corresponde al modo bearer-only — el servicio únicamente valida el token JWT recibido en la cabecera Authorization, sin redirigir a ningún flujo de login.</w:t>
      </w:r>
    </w:p>
    <w:p w14:paraId="522F0577" w14:textId="60AA8D7E" w:rsidR="005D7A1E" w:rsidRDefault="00000000">
      <w:pPr>
        <w:pBdr>
          <w:top w:val="nil"/>
          <w:left w:val="nil"/>
          <w:bottom w:val="nil"/>
          <w:right w:val="nil"/>
          <w:between w:val="nil"/>
        </w:pBdr>
        <w:spacing w:after="100"/>
        <w:ind w:left="360"/>
        <w:jc w:val="both"/>
      </w:pPr>
      <w:r>
        <w:rPr>
          <w:b/>
          <w:color w:val="0000A4"/>
          <w:sz w:val="21"/>
          <w:szCs w:val="21"/>
        </w:rPr>
        <w:t xml:space="preserve">•  </w:t>
      </w:r>
      <w:r w:rsidR="00F87536">
        <w:rPr>
          <w:color w:val="000000"/>
          <w:sz w:val="21"/>
          <w:szCs w:val="21"/>
        </w:rPr>
        <w:t xml:space="preserve">Configurado </w:t>
      </w:r>
      <w:r>
        <w:rPr>
          <w:color w:val="000000"/>
          <w:sz w:val="21"/>
          <w:szCs w:val="21"/>
        </w:rPr>
        <w:t>en sri-autorizacion-api: quarkus.oidc.application-type=service, con client-id y client secret propios (SSO_AUTORIZACION_CLIENT_ID / SSO_AUTORIZACION_CLIENT_SECRET), y su README documenta textualmente: "Cliente Keycloak bearer-only dedicado a este microservicio (realm Intranet)".</w:t>
      </w:r>
    </w:p>
    <w:p w14:paraId="70F17713"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El mismo patrón se repite en sri-anexos-estructura-service y sri-anexos-habilitacion-service: cada uno valida el token contra el realm Intranet y exige que el "audience" del token coincida con su propio client-id (SSO_ESTRUCTURAS_CLIENT_ID, SSO_HABILITACION_CLIENT_ID).</w:t>
      </w:r>
    </w:p>
    <w:p w14:paraId="7A7213BA" w14:textId="77777777" w:rsidR="005D7A1E" w:rsidRDefault="00000000">
      <w:pPr>
        <w:pBdr>
          <w:top w:val="nil"/>
          <w:left w:val="nil"/>
          <w:bottom w:val="nil"/>
          <w:right w:val="nil"/>
          <w:between w:val="nil"/>
        </w:pBdr>
        <w:spacing w:after="100"/>
        <w:ind w:left="360"/>
        <w:jc w:val="both"/>
      </w:pPr>
      <w:r>
        <w:rPr>
          <w:b/>
          <w:color w:val="0000A4"/>
          <w:sz w:val="21"/>
          <w:szCs w:val="21"/>
        </w:rPr>
        <w:t xml:space="preserve">•  </w:t>
      </w:r>
      <w:r>
        <w:rPr>
          <w:color w:val="000000"/>
          <w:sz w:val="21"/>
          <w:szCs w:val="21"/>
        </w:rPr>
        <w:t>sri-anexos-catalogos-service sigue el mismo esquema: quarkus.oidc.application-type=service, client-id propio (SSO_CATALOGOS_CLIENT_ID) y sus 7 recursos REST del servicio (catálogos, detalles, operativos, usuarios-anexo, campos de información, mensajes, tipo de dato) marcados con @Authenticated.</w:t>
      </w:r>
    </w:p>
    <w:p w14:paraId="056BC248" w14:textId="77777777" w:rsidR="005D7A1E" w:rsidRDefault="00000000">
      <w:pPr>
        <w:pBdr>
          <w:top w:val="nil"/>
          <w:left w:val="nil"/>
          <w:bottom w:val="nil"/>
          <w:right w:val="nil"/>
          <w:between w:val="nil"/>
        </w:pBdr>
        <w:spacing w:before="260" w:after="140"/>
      </w:pPr>
      <w:r>
        <w:rPr>
          <w:b/>
          <w:color w:val="0000A4"/>
          <w:sz w:val="30"/>
          <w:szCs w:val="30"/>
        </w:rPr>
        <w:lastRenderedPageBreak/>
        <w:t>7.3 Resumen del esquema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25"/>
        <w:gridCol w:w="3065"/>
        <w:gridCol w:w="3426"/>
      </w:tblGrid>
      <w:tr w:rsidR="005D7A1E" w14:paraId="2BA5167C" w14:textId="77777777">
        <w:tc>
          <w:tcPr>
            <w:tcW w:w="1400" w:type="pct"/>
            <w:shd w:val="clear" w:color="auto" w:fill="0000A4"/>
            <w:tcMar>
              <w:top w:w="80" w:type="dxa"/>
              <w:left w:w="120" w:type="dxa"/>
              <w:bottom w:w="80" w:type="dxa"/>
              <w:right w:w="120" w:type="dxa"/>
            </w:tcMar>
          </w:tcPr>
          <w:p w14:paraId="1208F370" w14:textId="77777777" w:rsidR="005D7A1E" w:rsidRDefault="00000000">
            <w:pPr>
              <w:spacing w:line="240" w:lineRule="auto"/>
            </w:pPr>
            <w:r>
              <w:rPr>
                <w:b/>
                <w:color w:val="FFFFFF"/>
                <w:sz w:val="19"/>
                <w:szCs w:val="19"/>
              </w:rPr>
              <w:t>Actor</w:t>
            </w:r>
          </w:p>
        </w:tc>
        <w:tc>
          <w:tcPr>
            <w:tcW w:w="1700" w:type="pct"/>
            <w:shd w:val="clear" w:color="auto" w:fill="0000A4"/>
            <w:tcMar>
              <w:top w:w="80" w:type="dxa"/>
              <w:left w:w="120" w:type="dxa"/>
              <w:bottom w:w="80" w:type="dxa"/>
              <w:right w:w="120" w:type="dxa"/>
            </w:tcMar>
          </w:tcPr>
          <w:p w14:paraId="7C6FDAC3" w14:textId="77777777" w:rsidR="005D7A1E" w:rsidRDefault="00000000">
            <w:pPr>
              <w:spacing w:line="240" w:lineRule="auto"/>
            </w:pPr>
            <w:r>
              <w:rPr>
                <w:b/>
                <w:color w:val="FFFFFF"/>
                <w:sz w:val="19"/>
                <w:szCs w:val="19"/>
              </w:rPr>
              <w:t>Tipo de cliente Keycloak</w:t>
            </w:r>
          </w:p>
        </w:tc>
        <w:tc>
          <w:tcPr>
            <w:tcW w:w="1900" w:type="pct"/>
            <w:shd w:val="clear" w:color="auto" w:fill="0000A4"/>
            <w:tcMar>
              <w:top w:w="80" w:type="dxa"/>
              <w:left w:w="120" w:type="dxa"/>
              <w:bottom w:w="80" w:type="dxa"/>
              <w:right w:w="120" w:type="dxa"/>
            </w:tcMar>
          </w:tcPr>
          <w:p w14:paraId="6A286B31" w14:textId="77777777" w:rsidR="005D7A1E" w:rsidRDefault="00000000">
            <w:pPr>
              <w:spacing w:line="240" w:lineRule="auto"/>
            </w:pPr>
            <w:r>
              <w:rPr>
                <w:b/>
                <w:color w:val="FFFFFF"/>
                <w:sz w:val="19"/>
                <w:szCs w:val="19"/>
              </w:rPr>
              <w:t>Comportamiento</w:t>
            </w:r>
          </w:p>
        </w:tc>
      </w:tr>
      <w:tr w:rsidR="005D7A1E" w14:paraId="774D5F3D" w14:textId="77777777">
        <w:tc>
          <w:tcPr>
            <w:tcW w:w="1400" w:type="pct"/>
            <w:tcMar>
              <w:top w:w="80" w:type="dxa"/>
              <w:left w:w="120" w:type="dxa"/>
              <w:bottom w:w="80" w:type="dxa"/>
              <w:right w:w="120" w:type="dxa"/>
            </w:tcMar>
          </w:tcPr>
          <w:p w14:paraId="775C6B29" w14:textId="77777777" w:rsidR="005D7A1E" w:rsidRDefault="00000000">
            <w:pPr>
              <w:spacing w:line="240" w:lineRule="auto"/>
            </w:pPr>
            <w:r>
              <w:rPr>
                <w:color w:val="202020"/>
                <w:sz w:val="19"/>
                <w:szCs w:val="19"/>
              </w:rPr>
              <w:t>Frontend (SPA)</w:t>
            </w:r>
          </w:p>
        </w:tc>
        <w:tc>
          <w:tcPr>
            <w:tcW w:w="1700" w:type="pct"/>
            <w:tcMar>
              <w:top w:w="80" w:type="dxa"/>
              <w:left w:w="120" w:type="dxa"/>
              <w:bottom w:w="80" w:type="dxa"/>
              <w:right w:w="120" w:type="dxa"/>
            </w:tcMar>
          </w:tcPr>
          <w:p w14:paraId="2F87F51D" w14:textId="77777777" w:rsidR="005D7A1E" w:rsidRDefault="00000000">
            <w:pPr>
              <w:spacing w:line="240" w:lineRule="auto"/>
            </w:pPr>
            <w:r>
              <w:rPr>
                <w:color w:val="202020"/>
                <w:sz w:val="19"/>
                <w:szCs w:val="19"/>
              </w:rPr>
              <w:t>Cliente interactivo / público</w:t>
            </w:r>
          </w:p>
        </w:tc>
        <w:tc>
          <w:tcPr>
            <w:tcW w:w="1900" w:type="pct"/>
            <w:tcMar>
              <w:top w:w="80" w:type="dxa"/>
              <w:left w:w="120" w:type="dxa"/>
              <w:bottom w:w="80" w:type="dxa"/>
              <w:right w:w="120" w:type="dxa"/>
            </w:tcMar>
          </w:tcPr>
          <w:p w14:paraId="0DD31EB3" w14:textId="77777777" w:rsidR="005D7A1E" w:rsidRDefault="00000000">
            <w:pPr>
              <w:spacing w:line="240" w:lineRule="auto"/>
            </w:pPr>
            <w:r>
              <w:rPr>
                <w:color w:val="202020"/>
                <w:sz w:val="19"/>
                <w:szCs w:val="19"/>
              </w:rPr>
              <w:t>Redirige a login si no hay sesión; renueva token en segundo plano</w:t>
            </w:r>
          </w:p>
        </w:tc>
      </w:tr>
      <w:tr w:rsidR="005D7A1E" w14:paraId="6EE62C76" w14:textId="77777777">
        <w:tc>
          <w:tcPr>
            <w:tcW w:w="1400" w:type="pct"/>
            <w:tcMar>
              <w:top w:w="80" w:type="dxa"/>
              <w:left w:w="120" w:type="dxa"/>
              <w:bottom w:w="80" w:type="dxa"/>
              <w:right w:w="120" w:type="dxa"/>
            </w:tcMar>
          </w:tcPr>
          <w:p w14:paraId="6E4B996C" w14:textId="77777777" w:rsidR="005D7A1E" w:rsidRDefault="00000000">
            <w:pPr>
              <w:spacing w:line="240" w:lineRule="auto"/>
            </w:pPr>
            <w:r>
              <w:rPr>
                <w:color w:val="202020"/>
                <w:sz w:val="19"/>
                <w:szCs w:val="19"/>
              </w:rPr>
              <w:t>Cada microservicio backend</w:t>
            </w:r>
          </w:p>
        </w:tc>
        <w:tc>
          <w:tcPr>
            <w:tcW w:w="1700" w:type="pct"/>
            <w:tcMar>
              <w:top w:w="80" w:type="dxa"/>
              <w:left w:w="120" w:type="dxa"/>
              <w:bottom w:w="80" w:type="dxa"/>
              <w:right w:w="120" w:type="dxa"/>
            </w:tcMar>
          </w:tcPr>
          <w:p w14:paraId="6549C496" w14:textId="77777777" w:rsidR="005D7A1E" w:rsidRDefault="00000000">
            <w:pPr>
              <w:spacing w:line="240" w:lineRule="auto"/>
            </w:pPr>
            <w:r>
              <w:rPr>
                <w:color w:val="202020"/>
                <w:sz w:val="19"/>
                <w:szCs w:val="19"/>
              </w:rPr>
              <w:t>Bearer-only (application-type=service)</w:t>
            </w:r>
          </w:p>
        </w:tc>
        <w:tc>
          <w:tcPr>
            <w:tcW w:w="1900" w:type="pct"/>
            <w:tcMar>
              <w:top w:w="80" w:type="dxa"/>
              <w:left w:w="120" w:type="dxa"/>
              <w:bottom w:w="80" w:type="dxa"/>
              <w:right w:w="120" w:type="dxa"/>
            </w:tcMar>
          </w:tcPr>
          <w:p w14:paraId="5A078E2D" w14:textId="77777777" w:rsidR="005D7A1E" w:rsidRDefault="00000000">
            <w:pPr>
              <w:spacing w:line="240" w:lineRule="auto"/>
            </w:pPr>
            <w:r>
              <w:rPr>
                <w:color w:val="202020"/>
                <w:sz w:val="19"/>
                <w:szCs w:val="19"/>
              </w:rPr>
              <w:t>No hay login; solo valida el JWT recibido en cada request</w:t>
            </w:r>
          </w:p>
        </w:tc>
      </w:tr>
    </w:tbl>
    <w:p w14:paraId="0F449C16" w14:textId="77777777" w:rsidR="005D7A1E" w:rsidRDefault="005D7A1E">
      <w:pPr>
        <w:spacing w:after="160"/>
      </w:pPr>
    </w:p>
    <w:p w14:paraId="5624BD26" w14:textId="20F92096" w:rsidR="005D7A1E" w:rsidRDefault="00000000">
      <w:pPr>
        <w:pBdr>
          <w:top w:val="nil"/>
          <w:left w:val="nil"/>
          <w:bottom w:val="nil"/>
          <w:right w:val="nil"/>
          <w:between w:val="nil"/>
        </w:pBdr>
        <w:spacing w:before="360" w:after="200"/>
      </w:pPr>
      <w:r>
        <w:rPr>
          <w:b/>
          <w:color w:val="0000A4"/>
          <w:sz w:val="44"/>
          <w:szCs w:val="44"/>
        </w:rPr>
        <w:t>8. Los microservicios backend</w:t>
      </w:r>
    </w:p>
    <w:p w14:paraId="5A794DBE" w14:textId="26D78AB2" w:rsidR="005D7A1E" w:rsidRDefault="00000000">
      <w:pPr>
        <w:pBdr>
          <w:top w:val="nil"/>
          <w:left w:val="nil"/>
          <w:bottom w:val="nil"/>
          <w:right w:val="nil"/>
          <w:between w:val="nil"/>
        </w:pBdr>
        <w:spacing w:before="260" w:after="140"/>
      </w:pPr>
      <w:r>
        <w:rPr>
          <w:b/>
          <w:color w:val="0000A4"/>
          <w:sz w:val="30"/>
          <w:szCs w:val="30"/>
        </w:rPr>
        <w:t xml:space="preserve">8.1 sri-autorizacion-api </w:t>
      </w:r>
      <w:r w:rsidR="005B7573">
        <w:rPr>
          <w:b/>
          <w:color w:val="0000A4"/>
          <w:sz w:val="30"/>
          <w:szCs w:val="30"/>
        </w:rPr>
        <w:t>-</w:t>
      </w:r>
      <w:r>
        <w:rPr>
          <w:b/>
          <w:color w:val="0000A4"/>
          <w:sz w:val="30"/>
          <w:szCs w:val="30"/>
        </w:rPr>
        <w:t xml:space="preserve"> Autorización</w:t>
      </w:r>
    </w:p>
    <w:p w14:paraId="291C44CC" w14:textId="4B953D6D" w:rsidR="005D7A1E" w:rsidRDefault="00000000" w:rsidP="00F87536">
      <w:pPr>
        <w:pBdr>
          <w:top w:val="nil"/>
          <w:left w:val="nil"/>
          <w:bottom w:val="nil"/>
          <w:right w:val="nil"/>
          <w:between w:val="nil"/>
        </w:pBdr>
        <w:spacing w:after="160"/>
        <w:jc w:val="both"/>
      </w:pPr>
      <w:r>
        <w:rPr>
          <w:color w:val="000000"/>
        </w:rPr>
        <w:t>Gestiona qué puede ver cada usuario dentro de cada aplicación: perfiles, módulos y el árbol de menús asociado a un perfil. En términos simples: es el servicio que responde "este usuario, con este perfil, puede ver estos módulos y este menú".</w:t>
      </w:r>
    </w:p>
    <w:p w14:paraId="3C881EC0" w14:textId="77777777" w:rsidR="005D7A1E" w:rsidRDefault="00000000">
      <w:pPr>
        <w:pBdr>
          <w:top w:val="nil"/>
          <w:left w:val="nil"/>
          <w:bottom w:val="nil"/>
          <w:right w:val="nil"/>
          <w:between w:val="nil"/>
        </w:pBdr>
        <w:spacing w:after="100"/>
        <w:ind w:left="360"/>
        <w:jc w:val="both"/>
      </w:pPr>
      <w:r>
        <w:rPr>
          <w:b/>
          <w:color w:val="0000A4"/>
          <w:sz w:val="21"/>
          <w:szCs w:val="21"/>
        </w:rPr>
        <w:t xml:space="preserve">•  Endpoints clave: </w:t>
      </w:r>
      <w:r>
        <w:rPr>
          <w:color w:val="000000"/>
          <w:sz w:val="21"/>
          <w:szCs w:val="21"/>
        </w:rPr>
        <w:t>GET /usuarios/{userName} — estructura completa autorizada del usuario (aplicación, módulos, menús). GET /usuarios/{userName}/perfiles — perfiles del usuario. GET /perfiles/{idPerfil}/modulos — módulos activos de un perfil; GET /perfiles/{idPerfil}/modulos/{idModulo}/menus — árbol de menús.</w:t>
      </w:r>
    </w:p>
    <w:p w14:paraId="4D108105" w14:textId="6BDF15A5" w:rsidR="005D7A1E" w:rsidRDefault="00000000">
      <w:pPr>
        <w:pBdr>
          <w:top w:val="nil"/>
          <w:left w:val="nil"/>
          <w:bottom w:val="nil"/>
          <w:right w:val="nil"/>
          <w:between w:val="nil"/>
        </w:pBdr>
        <w:spacing w:before="260" w:after="140"/>
      </w:pPr>
      <w:r>
        <w:rPr>
          <w:b/>
          <w:color w:val="0000A4"/>
          <w:sz w:val="30"/>
          <w:szCs w:val="30"/>
        </w:rPr>
        <w:t xml:space="preserve">8.2 sri-anexos-catalogos-service </w:t>
      </w:r>
      <w:r w:rsidR="005B7573">
        <w:rPr>
          <w:b/>
          <w:color w:val="0000A4"/>
          <w:sz w:val="30"/>
          <w:szCs w:val="30"/>
        </w:rPr>
        <w:t>-</w:t>
      </w:r>
      <w:r>
        <w:rPr>
          <w:b/>
          <w:color w:val="0000A4"/>
          <w:sz w:val="30"/>
          <w:szCs w:val="30"/>
        </w:rPr>
        <w:t xml:space="preserve"> Catálogos</w:t>
      </w:r>
    </w:p>
    <w:p w14:paraId="0D326B6B" w14:textId="77777777" w:rsidR="005D7A1E" w:rsidRDefault="00000000">
      <w:pPr>
        <w:pBdr>
          <w:top w:val="nil"/>
          <w:left w:val="nil"/>
          <w:bottom w:val="nil"/>
          <w:right w:val="nil"/>
          <w:between w:val="nil"/>
        </w:pBdr>
        <w:spacing w:after="160"/>
        <w:jc w:val="both"/>
      </w:pPr>
      <w:r>
        <w:rPr>
          <w:color w:val="000000"/>
        </w:rPr>
        <w:t>Administra los catálogos de apoyo que usa el resto del ecosistema GAN: catálogos y sus detalles, operativos, usuarios-anexo, campos de información y mensajes. Su dominio (paquete ec.gob.sri.catalogo) incluye las entidades GanCatalogo, GanCatalogoDetalle, GanTipoDatoCatalogo, GanOperativo, GanUsuarioAnexo, GanCampoInformacion, GanMensaje y AdmAdministracion.</w:t>
      </w:r>
    </w:p>
    <w:p w14:paraId="624FB01A" w14:textId="77777777" w:rsidR="005D7A1E" w:rsidRDefault="00000000">
      <w:pPr>
        <w:pBdr>
          <w:top w:val="nil"/>
          <w:left w:val="nil"/>
          <w:bottom w:val="nil"/>
          <w:right w:val="nil"/>
          <w:between w:val="nil"/>
        </w:pBdr>
        <w:spacing w:after="100"/>
        <w:ind w:left="360"/>
        <w:jc w:val="both"/>
      </w:pPr>
      <w:r>
        <w:rPr>
          <w:b/>
          <w:color w:val="0000A4"/>
          <w:sz w:val="21"/>
          <w:szCs w:val="21"/>
        </w:rPr>
        <w:t xml:space="preserve">•  Endpoints clave: </w:t>
      </w:r>
      <w:r>
        <w:rPr>
          <w:color w:val="000000"/>
          <w:sz w:val="21"/>
          <w:szCs w:val="21"/>
        </w:rPr>
        <w:t>7 recursos REST, cada uno con su propio CRUD: /catalogos, /catalogos-detalles, /operativos, /usuarios-anexos, /campos-informacion, /mensajes, /tipo-dato-catalogos.</w:t>
      </w:r>
    </w:p>
    <w:p w14:paraId="2623B32F" w14:textId="77777777" w:rsidR="005D7A1E" w:rsidRDefault="00000000">
      <w:pPr>
        <w:pBdr>
          <w:top w:val="nil"/>
          <w:left w:val="nil"/>
          <w:bottom w:val="nil"/>
          <w:right w:val="nil"/>
          <w:between w:val="nil"/>
        </w:pBdr>
        <w:spacing w:after="100"/>
        <w:ind w:left="360"/>
        <w:jc w:val="both"/>
      </w:pPr>
      <w:r>
        <w:rPr>
          <w:b/>
          <w:color w:val="0000A4"/>
          <w:sz w:val="21"/>
          <w:szCs w:val="21"/>
        </w:rPr>
        <w:t xml:space="preserve">•  Consumido por: </w:t>
      </w:r>
      <w:r>
        <w:rPr>
          <w:color w:val="000000"/>
          <w:sz w:val="21"/>
          <w:szCs w:val="21"/>
        </w:rPr>
        <w:t>Es consumido por sri-anexos-estructura-service (config catalogos-api) para operativos, catálogos-detalles y usuarios-anexo.</w:t>
      </w:r>
    </w:p>
    <w:p w14:paraId="429DCE77" w14:textId="77777777" w:rsidR="005D7A1E" w:rsidRDefault="00000000">
      <w:pPr>
        <w:pBdr>
          <w:top w:val="nil"/>
          <w:left w:val="nil"/>
          <w:bottom w:val="nil"/>
          <w:right w:val="nil"/>
          <w:between w:val="nil"/>
        </w:pBdr>
        <w:spacing w:after="100"/>
        <w:ind w:left="360"/>
        <w:jc w:val="both"/>
      </w:pPr>
      <w:r>
        <w:rPr>
          <w:b/>
          <w:color w:val="0000A4"/>
          <w:sz w:val="21"/>
          <w:szCs w:val="21"/>
        </w:rPr>
        <w:t xml:space="preserve">•  Integración saliente: </w:t>
      </w:r>
      <w:r>
        <w:rPr>
          <w:color w:val="000000"/>
          <w:sz w:val="21"/>
          <w:szCs w:val="21"/>
        </w:rPr>
        <w:t>Llama a un sistema externo de administración de aplicaciones (config adm-aplicacion) para resolver parámetros de ambiente por aplicación.</w:t>
      </w:r>
    </w:p>
    <w:p w14:paraId="3B069481" w14:textId="2073131F" w:rsidR="005D7A1E" w:rsidRDefault="00000000">
      <w:pPr>
        <w:pBdr>
          <w:top w:val="nil"/>
          <w:left w:val="nil"/>
          <w:bottom w:val="nil"/>
          <w:right w:val="nil"/>
          <w:between w:val="nil"/>
        </w:pBdr>
        <w:spacing w:before="260" w:after="140"/>
      </w:pPr>
      <w:r>
        <w:rPr>
          <w:b/>
          <w:color w:val="0000A4"/>
          <w:sz w:val="30"/>
          <w:szCs w:val="30"/>
        </w:rPr>
        <w:t xml:space="preserve">8.3 sri-anexos-estructura-service </w:t>
      </w:r>
      <w:r w:rsidR="005B7573">
        <w:rPr>
          <w:b/>
          <w:color w:val="0000A4"/>
          <w:sz w:val="30"/>
          <w:szCs w:val="30"/>
        </w:rPr>
        <w:t>-</w:t>
      </w:r>
      <w:r>
        <w:rPr>
          <w:b/>
          <w:color w:val="0000A4"/>
          <w:sz w:val="30"/>
          <w:szCs w:val="30"/>
        </w:rPr>
        <w:t xml:space="preserve"> Estructura</w:t>
      </w:r>
    </w:p>
    <w:p w14:paraId="067BFA93" w14:textId="77777777" w:rsidR="005D7A1E" w:rsidRDefault="00000000">
      <w:pPr>
        <w:pBdr>
          <w:top w:val="nil"/>
          <w:left w:val="nil"/>
          <w:bottom w:val="nil"/>
          <w:right w:val="nil"/>
          <w:between w:val="nil"/>
        </w:pBdr>
        <w:spacing w:after="160"/>
        <w:jc w:val="both"/>
      </w:pPr>
      <w:r>
        <w:rPr>
          <w:color w:val="000000"/>
        </w:rPr>
        <w:t>Gestiona la estructura/contenido de la plantilla del anexo (entidad GanPlantilla). Es el dueño del CRUD de la plantilla y del arranque del flujo de revisión.</w:t>
      </w:r>
    </w:p>
    <w:p w14:paraId="5D48877B" w14:textId="77777777" w:rsidR="005D7A1E" w:rsidRDefault="00000000">
      <w:pPr>
        <w:pBdr>
          <w:top w:val="nil"/>
          <w:left w:val="nil"/>
          <w:bottom w:val="nil"/>
          <w:right w:val="nil"/>
          <w:between w:val="nil"/>
        </w:pBdr>
        <w:spacing w:after="100"/>
        <w:ind w:left="360"/>
        <w:jc w:val="both"/>
      </w:pPr>
      <w:r>
        <w:rPr>
          <w:b/>
          <w:color w:val="0000A4"/>
          <w:sz w:val="21"/>
          <w:szCs w:val="21"/>
        </w:rPr>
        <w:t xml:space="preserve">•  Endpoints clave: </w:t>
      </w:r>
      <w:r>
        <w:rPr>
          <w:color w:val="000000"/>
          <w:sz w:val="21"/>
          <w:szCs w:val="21"/>
        </w:rPr>
        <w:t>CRUD completo de /plantillas, POST /{codigo}/duplica, GET /usuarios (plantillas del usuario autenticado), GET /operativos/{codigoOperativo}/lista, y las transiciones solicita-revision / aprueba / rechaza / publica.</w:t>
      </w:r>
    </w:p>
    <w:p w14:paraId="42826EB9" w14:textId="37625717" w:rsidR="005D7A1E" w:rsidRDefault="00000000">
      <w:pPr>
        <w:pBdr>
          <w:top w:val="nil"/>
          <w:left w:val="nil"/>
          <w:bottom w:val="nil"/>
          <w:right w:val="nil"/>
          <w:between w:val="nil"/>
        </w:pBdr>
        <w:spacing w:after="100"/>
        <w:ind w:left="360"/>
        <w:jc w:val="both"/>
      </w:pPr>
      <w:r>
        <w:rPr>
          <w:b/>
          <w:color w:val="0000A4"/>
          <w:sz w:val="21"/>
          <w:szCs w:val="21"/>
        </w:rPr>
        <w:t xml:space="preserve">• Integraciones salientes: </w:t>
      </w:r>
      <w:r>
        <w:rPr>
          <w:color w:val="000000"/>
          <w:sz w:val="21"/>
          <w:szCs w:val="21"/>
        </w:rPr>
        <w:t xml:space="preserve">Se conecta hacia sri-anexos-catalogos-service (catálogos, operativos, usuarios-anexo), un servicio externo de alertas/avisos, y hacia habilitación-service </w:t>
      </w:r>
      <w:r>
        <w:rPr>
          <w:color w:val="000000"/>
          <w:sz w:val="21"/>
          <w:szCs w:val="21"/>
        </w:rPr>
        <w:lastRenderedPageBreak/>
        <w:t>(cliente construido, sin uso activo confirmado).</w:t>
      </w:r>
    </w:p>
    <w:p w14:paraId="20DE7E69" w14:textId="2029245C" w:rsidR="005D7A1E" w:rsidRDefault="00000000">
      <w:pPr>
        <w:pBdr>
          <w:top w:val="nil"/>
          <w:left w:val="nil"/>
          <w:bottom w:val="nil"/>
          <w:right w:val="nil"/>
          <w:between w:val="nil"/>
        </w:pBdr>
        <w:spacing w:before="260" w:after="140"/>
      </w:pPr>
      <w:r>
        <w:rPr>
          <w:b/>
          <w:color w:val="0000A4"/>
          <w:sz w:val="30"/>
          <w:szCs w:val="30"/>
        </w:rPr>
        <w:t xml:space="preserve">8.4 sri-anexos-habilitacion-service </w:t>
      </w:r>
      <w:r w:rsidR="005B7573">
        <w:rPr>
          <w:b/>
          <w:color w:val="0000A4"/>
          <w:sz w:val="30"/>
          <w:szCs w:val="30"/>
        </w:rPr>
        <w:t>-</w:t>
      </w:r>
      <w:r>
        <w:rPr>
          <w:b/>
          <w:color w:val="0000A4"/>
          <w:sz w:val="30"/>
          <w:szCs w:val="30"/>
        </w:rPr>
        <w:t xml:space="preserve"> Habilitación</w:t>
      </w:r>
    </w:p>
    <w:p w14:paraId="12A43566" w14:textId="77777777" w:rsidR="005D7A1E" w:rsidRDefault="00000000">
      <w:pPr>
        <w:pBdr>
          <w:top w:val="nil"/>
          <w:left w:val="nil"/>
          <w:bottom w:val="nil"/>
          <w:right w:val="nil"/>
          <w:between w:val="nil"/>
        </w:pBdr>
        <w:spacing w:after="160"/>
        <w:jc w:val="both"/>
      </w:pPr>
      <w:r>
        <w:rPr>
          <w:color w:val="000000"/>
        </w:rPr>
        <w:t>Es el motor de transiciones de estado y el historial de aprobación de la plantilla (entidad GanEstadoPlantillaHistorial). Registra cada cambio de estado con su comentario y usuario, y es el servicio que el frontend invoca para aprobar/rechazar/publicar (ver sección 6).</w:t>
      </w:r>
    </w:p>
    <w:p w14:paraId="50BEF407" w14:textId="20BBA80E" w:rsidR="005D7A1E" w:rsidRDefault="00000000" w:rsidP="00AC3A71">
      <w:pPr>
        <w:pBdr>
          <w:top w:val="nil"/>
          <w:left w:val="nil"/>
          <w:bottom w:val="nil"/>
          <w:right w:val="nil"/>
          <w:between w:val="nil"/>
        </w:pBdr>
        <w:spacing w:after="100"/>
        <w:ind w:left="360"/>
        <w:jc w:val="both"/>
      </w:pPr>
      <w:r>
        <w:rPr>
          <w:b/>
          <w:color w:val="0000A4"/>
          <w:sz w:val="21"/>
          <w:szCs w:val="21"/>
        </w:rPr>
        <w:t xml:space="preserve">•  Endpoints clave: </w:t>
      </w:r>
      <w:r>
        <w:rPr>
          <w:color w:val="000000"/>
          <w:sz w:val="21"/>
          <w:szCs w:val="21"/>
        </w:rPr>
        <w:t>PATCH .../solicita-revision, .../aprueba (con comentario), .../rechaza (comentario obligatorio), .../publica, GET .../historial (paginado). Los endpoints POST/GET de historial "interno" están documentados explícitamente como uso entre microservicios y son los que llama sri-anexos-estructura-service.</w:t>
      </w:r>
    </w:p>
    <w:p w14:paraId="48A485E3" w14:textId="25322F3C" w:rsidR="005D7A1E" w:rsidRDefault="00AC3A71">
      <w:pPr>
        <w:pBdr>
          <w:top w:val="nil"/>
          <w:left w:val="nil"/>
          <w:bottom w:val="nil"/>
          <w:right w:val="nil"/>
          <w:between w:val="nil"/>
        </w:pBdr>
        <w:spacing w:before="360" w:after="200"/>
      </w:pPr>
      <w:r>
        <w:rPr>
          <w:b/>
          <w:color w:val="0000A4"/>
          <w:sz w:val="44"/>
          <w:szCs w:val="44"/>
        </w:rPr>
        <w:t>9</w:t>
      </w:r>
      <w:r w:rsidR="00000000">
        <w:rPr>
          <w:b/>
          <w:color w:val="0000A4"/>
          <w:sz w:val="44"/>
          <w:szCs w:val="44"/>
        </w:rPr>
        <w:t>. Glosario rápido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7032"/>
      </w:tblGrid>
      <w:tr w:rsidR="005D7A1E" w14:paraId="2E63B35A" w14:textId="77777777">
        <w:tc>
          <w:tcPr>
            <w:tcW w:w="1100" w:type="pct"/>
            <w:shd w:val="clear" w:color="auto" w:fill="0000A4"/>
            <w:tcMar>
              <w:top w:w="80" w:type="dxa"/>
              <w:left w:w="120" w:type="dxa"/>
              <w:bottom w:w="80" w:type="dxa"/>
              <w:right w:w="120" w:type="dxa"/>
            </w:tcMar>
          </w:tcPr>
          <w:p w14:paraId="6AB12B08" w14:textId="77777777" w:rsidR="005D7A1E" w:rsidRDefault="00000000">
            <w:pPr>
              <w:spacing w:line="240" w:lineRule="auto"/>
            </w:pPr>
            <w:r>
              <w:rPr>
                <w:b/>
                <w:color w:val="FFFFFF"/>
                <w:sz w:val="19"/>
                <w:szCs w:val="19"/>
              </w:rPr>
              <w:t>Término</w:t>
            </w:r>
          </w:p>
        </w:tc>
        <w:tc>
          <w:tcPr>
            <w:tcW w:w="3900" w:type="pct"/>
            <w:shd w:val="clear" w:color="auto" w:fill="0000A4"/>
            <w:tcMar>
              <w:top w:w="80" w:type="dxa"/>
              <w:left w:w="120" w:type="dxa"/>
              <w:bottom w:w="80" w:type="dxa"/>
              <w:right w:w="120" w:type="dxa"/>
            </w:tcMar>
          </w:tcPr>
          <w:p w14:paraId="29CCBC62" w14:textId="77777777" w:rsidR="005D7A1E" w:rsidRDefault="00000000">
            <w:pPr>
              <w:spacing w:line="240" w:lineRule="auto"/>
            </w:pPr>
            <w:r>
              <w:rPr>
                <w:b/>
                <w:color w:val="FFFFFF"/>
                <w:sz w:val="19"/>
                <w:szCs w:val="19"/>
              </w:rPr>
              <w:t>Significado en este proyecto</w:t>
            </w:r>
          </w:p>
        </w:tc>
      </w:tr>
      <w:tr w:rsidR="005D7A1E" w14:paraId="1861228D" w14:textId="77777777">
        <w:tc>
          <w:tcPr>
            <w:tcW w:w="1100" w:type="pct"/>
            <w:tcMar>
              <w:top w:w="80" w:type="dxa"/>
              <w:left w:w="120" w:type="dxa"/>
              <w:bottom w:w="80" w:type="dxa"/>
              <w:right w:w="120" w:type="dxa"/>
            </w:tcMar>
          </w:tcPr>
          <w:p w14:paraId="41E43C91" w14:textId="77777777" w:rsidR="005D7A1E" w:rsidRDefault="00000000">
            <w:pPr>
              <w:spacing w:line="240" w:lineRule="auto"/>
            </w:pPr>
            <w:r>
              <w:rPr>
                <w:color w:val="202020"/>
                <w:sz w:val="19"/>
                <w:szCs w:val="19"/>
              </w:rPr>
              <w:t>GAN</w:t>
            </w:r>
          </w:p>
        </w:tc>
        <w:tc>
          <w:tcPr>
            <w:tcW w:w="3900" w:type="pct"/>
            <w:tcMar>
              <w:top w:w="80" w:type="dxa"/>
              <w:left w:w="120" w:type="dxa"/>
              <w:bottom w:w="80" w:type="dxa"/>
              <w:right w:w="120" w:type="dxa"/>
            </w:tcMar>
          </w:tcPr>
          <w:p w14:paraId="6BF45B58" w14:textId="77777777" w:rsidR="005D7A1E" w:rsidRDefault="00000000">
            <w:pPr>
              <w:spacing w:line="240" w:lineRule="auto"/>
            </w:pPr>
            <w:r>
              <w:rPr>
                <w:color w:val="202020"/>
                <w:sz w:val="19"/>
                <w:szCs w:val="19"/>
              </w:rPr>
              <w:t>Gestión de Anexos — nombre del sistema; también prefijo de las entidades del dominio (GanPlantilla, GanOperativoRemote, etc.)</w:t>
            </w:r>
          </w:p>
        </w:tc>
      </w:tr>
      <w:tr w:rsidR="005D7A1E" w14:paraId="6D1893E4" w14:textId="77777777">
        <w:tc>
          <w:tcPr>
            <w:tcW w:w="1100" w:type="pct"/>
            <w:tcMar>
              <w:top w:w="80" w:type="dxa"/>
              <w:left w:w="120" w:type="dxa"/>
              <w:bottom w:w="80" w:type="dxa"/>
              <w:right w:w="120" w:type="dxa"/>
            </w:tcMar>
          </w:tcPr>
          <w:p w14:paraId="61773E22" w14:textId="77777777" w:rsidR="005D7A1E" w:rsidRDefault="00000000">
            <w:pPr>
              <w:spacing w:line="240" w:lineRule="auto"/>
            </w:pPr>
            <w:r>
              <w:rPr>
                <w:color w:val="202020"/>
                <w:sz w:val="19"/>
                <w:szCs w:val="19"/>
              </w:rPr>
              <w:t>Plantilla</w:t>
            </w:r>
          </w:p>
        </w:tc>
        <w:tc>
          <w:tcPr>
            <w:tcW w:w="3900" w:type="pct"/>
            <w:tcMar>
              <w:top w:w="80" w:type="dxa"/>
              <w:left w:w="120" w:type="dxa"/>
              <w:bottom w:w="80" w:type="dxa"/>
              <w:right w:w="120" w:type="dxa"/>
            </w:tcMar>
          </w:tcPr>
          <w:p w14:paraId="3697800F" w14:textId="77777777" w:rsidR="005D7A1E" w:rsidRDefault="00000000">
            <w:pPr>
              <w:spacing w:line="240" w:lineRule="auto"/>
            </w:pPr>
            <w:r>
              <w:rPr>
                <w:color w:val="202020"/>
                <w:sz w:val="19"/>
                <w:szCs w:val="19"/>
              </w:rPr>
              <w:t>El formulario/anexo diseñado por el usuario, con su estructura de campos</w:t>
            </w:r>
          </w:p>
        </w:tc>
      </w:tr>
      <w:tr w:rsidR="005D7A1E" w14:paraId="11F73B31" w14:textId="77777777">
        <w:tc>
          <w:tcPr>
            <w:tcW w:w="1100" w:type="pct"/>
            <w:tcMar>
              <w:top w:w="80" w:type="dxa"/>
              <w:left w:w="120" w:type="dxa"/>
              <w:bottom w:w="80" w:type="dxa"/>
              <w:right w:w="120" w:type="dxa"/>
            </w:tcMar>
          </w:tcPr>
          <w:p w14:paraId="62EE86DD" w14:textId="77777777" w:rsidR="005D7A1E" w:rsidRDefault="00000000">
            <w:pPr>
              <w:spacing w:line="240" w:lineRule="auto"/>
            </w:pPr>
            <w:r>
              <w:rPr>
                <w:color w:val="202020"/>
                <w:sz w:val="19"/>
                <w:szCs w:val="19"/>
              </w:rPr>
              <w:t>Operativo</w:t>
            </w:r>
          </w:p>
        </w:tc>
        <w:tc>
          <w:tcPr>
            <w:tcW w:w="3900" w:type="pct"/>
            <w:tcMar>
              <w:top w:w="80" w:type="dxa"/>
              <w:left w:w="120" w:type="dxa"/>
              <w:bottom w:w="80" w:type="dxa"/>
              <w:right w:w="120" w:type="dxa"/>
            </w:tcMar>
          </w:tcPr>
          <w:p w14:paraId="73B8C1FF" w14:textId="77777777" w:rsidR="005D7A1E" w:rsidRDefault="00000000">
            <w:pPr>
              <w:spacing w:line="240" w:lineRule="auto"/>
            </w:pPr>
            <w:r>
              <w:rPr>
                <w:color w:val="202020"/>
                <w:sz w:val="19"/>
                <w:szCs w:val="19"/>
              </w:rPr>
              <w:t>Concepto de catálogo asociado a la plantilla, consultado desde el servicio de catálogos</w:t>
            </w:r>
          </w:p>
        </w:tc>
      </w:tr>
      <w:tr w:rsidR="005D7A1E" w14:paraId="373097DF" w14:textId="77777777">
        <w:tc>
          <w:tcPr>
            <w:tcW w:w="1100" w:type="pct"/>
            <w:tcMar>
              <w:top w:w="80" w:type="dxa"/>
              <w:left w:w="120" w:type="dxa"/>
              <w:bottom w:w="80" w:type="dxa"/>
              <w:right w:w="120" w:type="dxa"/>
            </w:tcMar>
          </w:tcPr>
          <w:p w14:paraId="54A67B79" w14:textId="77777777" w:rsidR="005D7A1E" w:rsidRDefault="00000000">
            <w:pPr>
              <w:spacing w:line="240" w:lineRule="auto"/>
            </w:pPr>
            <w:r>
              <w:rPr>
                <w:color w:val="202020"/>
                <w:sz w:val="19"/>
                <w:szCs w:val="19"/>
              </w:rPr>
              <w:t>Perfil</w:t>
            </w:r>
          </w:p>
        </w:tc>
        <w:tc>
          <w:tcPr>
            <w:tcW w:w="3900" w:type="pct"/>
            <w:tcMar>
              <w:top w:w="80" w:type="dxa"/>
              <w:left w:w="120" w:type="dxa"/>
              <w:bottom w:w="80" w:type="dxa"/>
              <w:right w:w="120" w:type="dxa"/>
            </w:tcMar>
          </w:tcPr>
          <w:p w14:paraId="11DBC566" w14:textId="77777777" w:rsidR="005D7A1E" w:rsidRDefault="00000000">
            <w:pPr>
              <w:spacing w:line="240" w:lineRule="auto"/>
            </w:pPr>
            <w:r>
              <w:rPr>
                <w:color w:val="202020"/>
                <w:sz w:val="19"/>
                <w:szCs w:val="19"/>
              </w:rPr>
              <w:t>Rol de un usuario que determina qué módulos/menús puede ver (gestionado por sri-autorizacion-api)</w:t>
            </w:r>
          </w:p>
        </w:tc>
      </w:tr>
      <w:tr w:rsidR="005D7A1E" w14:paraId="26ED7B3D" w14:textId="77777777">
        <w:tc>
          <w:tcPr>
            <w:tcW w:w="1100" w:type="pct"/>
            <w:tcMar>
              <w:top w:w="80" w:type="dxa"/>
              <w:left w:w="120" w:type="dxa"/>
              <w:bottom w:w="80" w:type="dxa"/>
              <w:right w:w="120" w:type="dxa"/>
            </w:tcMar>
          </w:tcPr>
          <w:p w14:paraId="5E3F1A3B" w14:textId="77777777" w:rsidR="005D7A1E" w:rsidRDefault="00000000">
            <w:pPr>
              <w:spacing w:line="240" w:lineRule="auto"/>
            </w:pPr>
            <w:r>
              <w:rPr>
                <w:color w:val="202020"/>
                <w:sz w:val="19"/>
                <w:szCs w:val="19"/>
              </w:rPr>
              <w:t>Bearer-only</w:t>
            </w:r>
          </w:p>
        </w:tc>
        <w:tc>
          <w:tcPr>
            <w:tcW w:w="3900" w:type="pct"/>
            <w:tcMar>
              <w:top w:w="80" w:type="dxa"/>
              <w:left w:w="120" w:type="dxa"/>
              <w:bottom w:w="80" w:type="dxa"/>
              <w:right w:w="120" w:type="dxa"/>
            </w:tcMar>
          </w:tcPr>
          <w:p w14:paraId="35DE2991" w14:textId="77777777" w:rsidR="005D7A1E" w:rsidRDefault="00000000">
            <w:pPr>
              <w:spacing w:line="240" w:lineRule="auto"/>
            </w:pPr>
            <w:r>
              <w:rPr>
                <w:color w:val="202020"/>
                <w:sz w:val="19"/>
                <w:szCs w:val="19"/>
              </w:rPr>
              <w:t>Modo de cliente Keycloak en el que el servicio solo valida el token recibido, sin manejar login (application-type=service en Quarkus)</w:t>
            </w:r>
          </w:p>
        </w:tc>
      </w:tr>
      <w:tr w:rsidR="005D7A1E" w14:paraId="4366EFD8" w14:textId="77777777">
        <w:tc>
          <w:tcPr>
            <w:tcW w:w="1100" w:type="pct"/>
            <w:tcMar>
              <w:top w:w="80" w:type="dxa"/>
              <w:left w:w="120" w:type="dxa"/>
              <w:bottom w:w="80" w:type="dxa"/>
              <w:right w:w="120" w:type="dxa"/>
            </w:tcMar>
          </w:tcPr>
          <w:p w14:paraId="7F9DABA6" w14:textId="77777777" w:rsidR="005D7A1E" w:rsidRDefault="00000000">
            <w:pPr>
              <w:spacing w:line="240" w:lineRule="auto"/>
            </w:pPr>
            <w:r>
              <w:rPr>
                <w:color w:val="202020"/>
                <w:sz w:val="19"/>
                <w:szCs w:val="19"/>
              </w:rPr>
              <w:t>Realm Intranet</w:t>
            </w:r>
          </w:p>
        </w:tc>
        <w:tc>
          <w:tcPr>
            <w:tcW w:w="3900" w:type="pct"/>
            <w:tcMar>
              <w:top w:w="80" w:type="dxa"/>
              <w:left w:w="120" w:type="dxa"/>
              <w:bottom w:w="80" w:type="dxa"/>
              <w:right w:w="120" w:type="dxa"/>
            </w:tcMar>
          </w:tcPr>
          <w:p w14:paraId="5ECEED00" w14:textId="77777777" w:rsidR="005D7A1E" w:rsidRDefault="00000000">
            <w:pPr>
              <w:spacing w:line="240" w:lineRule="auto"/>
            </w:pPr>
            <w:r>
              <w:rPr>
                <w:color w:val="202020"/>
                <w:sz w:val="19"/>
                <w:szCs w:val="19"/>
              </w:rPr>
              <w:t>El "dominio" de Keycloak donde están registrados todos los clientes (frontend y backends) de este ecosistema</w:t>
            </w:r>
          </w:p>
        </w:tc>
      </w:tr>
      <w:tr w:rsidR="005D7A1E" w14:paraId="4C3069B0" w14:textId="77777777">
        <w:tc>
          <w:tcPr>
            <w:tcW w:w="1100" w:type="pct"/>
            <w:tcMar>
              <w:top w:w="80" w:type="dxa"/>
              <w:left w:w="120" w:type="dxa"/>
              <w:bottom w:w="80" w:type="dxa"/>
              <w:right w:w="120" w:type="dxa"/>
            </w:tcMar>
          </w:tcPr>
          <w:p w14:paraId="5F0BF8F3" w14:textId="77777777" w:rsidR="005D7A1E" w:rsidRDefault="00000000">
            <w:pPr>
              <w:spacing w:line="240" w:lineRule="auto"/>
            </w:pPr>
            <w:r>
              <w:rPr>
                <w:color w:val="202020"/>
                <w:sz w:val="19"/>
                <w:szCs w:val="19"/>
              </w:rPr>
              <w:t>CON / MOD / REV / APR / PUB</w:t>
            </w:r>
          </w:p>
        </w:tc>
        <w:tc>
          <w:tcPr>
            <w:tcW w:w="3900" w:type="pct"/>
            <w:tcMar>
              <w:top w:w="80" w:type="dxa"/>
              <w:left w:w="120" w:type="dxa"/>
              <w:bottom w:w="80" w:type="dxa"/>
              <w:right w:w="120" w:type="dxa"/>
            </w:tcMar>
          </w:tcPr>
          <w:p w14:paraId="695A670E" w14:textId="77777777" w:rsidR="005D7A1E" w:rsidRDefault="00000000">
            <w:pPr>
              <w:spacing w:line="240" w:lineRule="auto"/>
            </w:pPr>
            <w:r>
              <w:rPr>
                <w:color w:val="202020"/>
                <w:sz w:val="19"/>
                <w:szCs w:val="19"/>
              </w:rPr>
              <w:t>Estados del ciclo de vida de una plantilla: Construcción, Modificación, Revisión, Aprobada, Publicada</w:t>
            </w:r>
          </w:p>
        </w:tc>
      </w:tr>
    </w:tbl>
    <w:p w14:paraId="78536A76" w14:textId="77777777" w:rsidR="005D7A1E" w:rsidRDefault="005D7A1E">
      <w:pPr>
        <w:spacing w:after="160"/>
      </w:pPr>
    </w:p>
    <w:sectPr w:rsidR="005D7A1E">
      <w:headerReference w:type="default" r:id="rId10"/>
      <w:footerReference w:type="default" r:id="rId11"/>
      <w:pgSz w:w="11906" w:h="16838"/>
      <w:pgMar w:top="1440" w:right="1440" w:bottom="1440" w:left="1440" w:header="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1EB9" w14:textId="77777777" w:rsidR="00AC0807" w:rsidRDefault="00AC0807">
      <w:pPr>
        <w:spacing w:line="240" w:lineRule="auto"/>
      </w:pPr>
      <w:r>
        <w:separator/>
      </w:r>
    </w:p>
  </w:endnote>
  <w:endnote w:type="continuationSeparator" w:id="0">
    <w:p w14:paraId="3FE939D4" w14:textId="77777777" w:rsidR="00AC0807" w:rsidRDefault="00AC08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panose1 w:val="00000000000000000000"/>
    <w:charset w:val="00"/>
    <w:family w:val="roman"/>
    <w:notTrueType/>
    <w:pitch w:val="default"/>
  </w:font>
  <w:font w:name="Arial 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DA79" w14:textId="0C2C578A" w:rsidR="005D7A1E" w:rsidRDefault="00000000">
    <w:pPr>
      <w:pBdr>
        <w:top w:val="nil"/>
        <w:left w:val="nil"/>
        <w:bottom w:val="nil"/>
        <w:right w:val="nil"/>
        <w:between w:val="nil"/>
      </w:pBdr>
      <w:tabs>
        <w:tab w:val="center" w:pos="4252"/>
        <w:tab w:val="right" w:pos="8504"/>
      </w:tabs>
      <w:spacing w:line="240" w:lineRule="auto"/>
      <w:jc w:val="right"/>
      <w:rPr>
        <w:smallCaps/>
        <w:color w:val="FFFFFF"/>
      </w:rPr>
    </w:pPr>
    <w:r>
      <w:rPr>
        <w:smallCaps/>
        <w:color w:val="FFFFFF"/>
      </w:rPr>
      <w:fldChar w:fldCharType="begin"/>
    </w:r>
    <w:r>
      <w:rPr>
        <w:smallCaps/>
        <w:color w:val="FFFFFF"/>
      </w:rPr>
      <w:instrText>PAGE</w:instrText>
    </w:r>
    <w:r>
      <w:rPr>
        <w:smallCaps/>
        <w:color w:val="FFFFFF"/>
      </w:rPr>
      <w:fldChar w:fldCharType="separate"/>
    </w:r>
    <w:r w:rsidR="00426BF3">
      <w:rPr>
        <w:smallCaps/>
        <w:noProof/>
        <w:color w:val="FFFFFF"/>
      </w:rPr>
      <w:t>1</w:t>
    </w:r>
    <w:r>
      <w:rPr>
        <w:smallCaps/>
        <w:color w:val="FFFFFF"/>
      </w:rPr>
      <w:fldChar w:fldCharType="end"/>
    </w:r>
    <w:r>
      <w:rPr>
        <w:noProof/>
      </w:rPr>
      <mc:AlternateContent>
        <mc:Choice Requires="wps">
          <w:drawing>
            <wp:anchor distT="0" distB="0" distL="0" distR="0" simplePos="0" relativeHeight="251661312" behindDoc="1" locked="0" layoutInCell="1" hidden="0" allowOverlap="1" wp14:anchorId="41431D78" wp14:editId="46CE5B49">
              <wp:simplePos x="0" y="0"/>
              <wp:positionH relativeFrom="column">
                <wp:posOffset>-901699</wp:posOffset>
              </wp:positionH>
              <wp:positionV relativeFrom="paragraph">
                <wp:posOffset>-63499</wp:posOffset>
              </wp:positionV>
              <wp:extent cx="7538720" cy="270783"/>
              <wp:effectExtent l="0" t="0" r="0" b="0"/>
              <wp:wrapNone/>
              <wp:docPr id="1836311799" name="Rectángulo 1836311799"/>
              <wp:cNvGraphicFramePr/>
              <a:graphic xmlns:a="http://schemas.openxmlformats.org/drawingml/2006/main">
                <a:graphicData uri="http://schemas.microsoft.com/office/word/2010/wordprocessingShape">
                  <wps:wsp>
                    <wps:cNvSpPr/>
                    <wps:spPr>
                      <a:xfrm>
                        <a:off x="1581403" y="3649371"/>
                        <a:ext cx="7529195" cy="261258"/>
                      </a:xfrm>
                      <a:prstGeom prst="rect">
                        <a:avLst/>
                      </a:prstGeom>
                      <a:solidFill>
                        <a:srgbClr val="0000A4"/>
                      </a:solidFill>
                      <a:ln>
                        <a:noFill/>
                      </a:ln>
                    </wps:spPr>
                    <wps:txbx>
                      <w:txbxContent>
                        <w:p w14:paraId="64145DC8" w14:textId="77777777" w:rsidR="005D7A1E" w:rsidRDefault="005D7A1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1431D78" id="Rectángulo 1836311799" o:spid="_x0000_s1032" style="position:absolute;left:0;text-align:left;margin-left:-71pt;margin-top:-5pt;width:593.6pt;height:21.3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" fillcolor="#0000a4" stroked="f">
              <v:textbox inset="2.53958mm,2.53958mm,2.53958mm,2.53958mm">
                <w:txbxContent>
                  <w:p w14:paraId="64145DC8" w14:textId="77777777" w:rsidR="005D7A1E" w:rsidRDefault="005D7A1E">
                    <w:pPr>
                      <w:spacing w:line="240" w:lineRule="auto"/>
                      <w:textDirection w:val="btLr"/>
                    </w:pPr>
                  </w:p>
                </w:txbxContent>
              </v:textbox>
            </v:rect>
          </w:pict>
        </mc:Fallback>
      </mc:AlternateContent>
    </w:r>
  </w:p>
  <w:p w14:paraId="7E3E1DFC" w14:textId="77777777" w:rsidR="005D7A1E" w:rsidRDefault="005D7A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786A" w14:textId="77777777" w:rsidR="00AC0807" w:rsidRDefault="00AC0807">
      <w:pPr>
        <w:spacing w:line="240" w:lineRule="auto"/>
      </w:pPr>
      <w:r>
        <w:separator/>
      </w:r>
    </w:p>
  </w:footnote>
  <w:footnote w:type="continuationSeparator" w:id="0">
    <w:p w14:paraId="145EDB99" w14:textId="77777777" w:rsidR="00AC0807" w:rsidRDefault="00AC08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3BC6" w14:textId="77777777" w:rsidR="005D7A1E" w:rsidRDefault="00000000">
    <w:pPr>
      <w:pBdr>
        <w:top w:val="nil"/>
        <w:left w:val="nil"/>
        <w:bottom w:val="nil"/>
        <w:right w:val="nil"/>
        <w:between w:val="nil"/>
      </w:pBdr>
      <w:ind w:left="-1417"/>
      <w:rPr>
        <w:color w:val="000000"/>
      </w:rPr>
    </w:pPr>
    <w:r>
      <w:rPr>
        <w:noProof/>
      </w:rPr>
      <mc:AlternateContent>
        <mc:Choice Requires="wps">
          <w:drawing>
            <wp:anchor distT="0" distB="0" distL="0" distR="0" simplePos="0" relativeHeight="251658240" behindDoc="1" locked="0" layoutInCell="1" hidden="0" allowOverlap="1" wp14:anchorId="786C45AB" wp14:editId="6CB9AD46">
              <wp:simplePos x="0" y="0"/>
              <wp:positionH relativeFrom="column">
                <wp:posOffset>-1028699</wp:posOffset>
              </wp:positionH>
              <wp:positionV relativeFrom="paragraph">
                <wp:posOffset>0</wp:posOffset>
              </wp:positionV>
              <wp:extent cx="7669349" cy="802005"/>
              <wp:effectExtent l="0" t="0" r="0" b="0"/>
              <wp:wrapNone/>
              <wp:docPr id="1836311798" name="Rectángulo 1836311798"/>
              <wp:cNvGraphicFramePr/>
              <a:graphic xmlns:a="http://schemas.openxmlformats.org/drawingml/2006/main">
                <a:graphicData uri="http://schemas.microsoft.com/office/word/2010/wordprocessingShape">
                  <wps:wsp>
                    <wps:cNvSpPr/>
                    <wps:spPr>
                      <a:xfrm>
                        <a:off x="1516088" y="3383760"/>
                        <a:ext cx="7659824" cy="792480"/>
                      </a:xfrm>
                      <a:prstGeom prst="rect">
                        <a:avLst/>
                      </a:prstGeom>
                      <a:solidFill>
                        <a:srgbClr val="0000A4"/>
                      </a:solidFill>
                      <a:ln>
                        <a:noFill/>
                      </a:ln>
                    </wps:spPr>
                    <wps:txbx>
                      <w:txbxContent>
                        <w:p w14:paraId="160472AC" w14:textId="77777777" w:rsidR="005D7A1E" w:rsidRDefault="005D7A1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6C45AB" id="Rectángulo 1836311798" o:spid="_x0000_s1030" style="position:absolute;left:0;text-align:left;margin-left:-81pt;margin-top:0;width:603.9pt;height:63.1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" fillcolor="#0000a4" stroked="f">
              <v:textbox inset="2.53958mm,2.53958mm,2.53958mm,2.53958mm">
                <w:txbxContent>
                  <w:p w14:paraId="160472AC" w14:textId="77777777" w:rsidR="005D7A1E" w:rsidRDefault="005D7A1E">
                    <w:pPr>
                      <w:spacing w:line="240" w:lineRule="auto"/>
                      <w:textDirection w:val="btLr"/>
                    </w:pPr>
                  </w:p>
                </w:txbxContent>
              </v:textbox>
            </v:rect>
          </w:pict>
        </mc:Fallback>
      </mc:AlternateContent>
    </w:r>
    <w:r>
      <w:rPr>
        <w:noProof/>
      </w:rPr>
      <w:drawing>
        <wp:anchor distT="0" distB="0" distL="0" distR="0" simplePos="0" relativeHeight="251659264" behindDoc="1" locked="0" layoutInCell="1" hidden="0" allowOverlap="1" wp14:anchorId="2A3955E2" wp14:editId="74A097E4">
          <wp:simplePos x="0" y="0"/>
          <wp:positionH relativeFrom="column">
            <wp:posOffset>-599745</wp:posOffset>
          </wp:positionH>
          <wp:positionV relativeFrom="paragraph">
            <wp:posOffset>186117</wp:posOffset>
          </wp:positionV>
          <wp:extent cx="964927" cy="512076"/>
          <wp:effectExtent l="0" t="0" r="0" b="0"/>
          <wp:wrapNone/>
          <wp:docPr id="18363118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964927" cy="512076"/>
                  </a:xfrm>
                  <a:prstGeom prst="rect">
                    <a:avLst/>
                  </a:prstGeom>
                  <a:ln/>
                </pic:spPr>
              </pic:pic>
            </a:graphicData>
          </a:graphic>
        </wp:anchor>
      </w:drawing>
    </w:r>
    <w:r>
      <w:rPr>
        <w:noProof/>
      </w:rPr>
      <mc:AlternateContent>
        <mc:Choice Requires="wps">
          <w:drawing>
            <wp:anchor distT="0" distB="0" distL="0" distR="0" simplePos="0" relativeHeight="251660288" behindDoc="0" locked="0" layoutInCell="1" hidden="0" allowOverlap="1" wp14:anchorId="4FEFE908" wp14:editId="41CBC4A1">
              <wp:simplePos x="0" y="0"/>
              <wp:positionH relativeFrom="column">
                <wp:posOffset>3162300</wp:posOffset>
              </wp:positionH>
              <wp:positionV relativeFrom="paragraph">
                <wp:posOffset>355600</wp:posOffset>
              </wp:positionV>
              <wp:extent cx="3086100" cy="709295"/>
              <wp:effectExtent l="0" t="0" r="0" b="0"/>
              <wp:wrapNone/>
              <wp:docPr id="1836311792" name="Rectángulo 1836311792"/>
              <wp:cNvGraphicFramePr/>
              <a:graphic xmlns:a="http://schemas.openxmlformats.org/drawingml/2006/main">
                <a:graphicData uri="http://schemas.microsoft.com/office/word/2010/wordprocessingShape">
                  <wps:wsp>
                    <wps:cNvSpPr/>
                    <wps:spPr>
                      <a:xfrm>
                        <a:off x="3817620" y="3439980"/>
                        <a:ext cx="3056760" cy="680040"/>
                      </a:xfrm>
                      <a:prstGeom prst="rect">
                        <a:avLst/>
                      </a:prstGeom>
                      <a:noFill/>
                      <a:ln>
                        <a:noFill/>
                      </a:ln>
                    </wps:spPr>
                    <wps:txbx>
                      <w:txbxContent>
                        <w:p w14:paraId="4DB22713" w14:textId="60DD8C31" w:rsidR="005D7A1E" w:rsidRPr="001271A2" w:rsidRDefault="001271A2">
                          <w:pPr>
                            <w:spacing w:line="240" w:lineRule="auto"/>
                            <w:jc w:val="right"/>
                            <w:textDirection w:val="btLr"/>
                            <w:rPr>
                              <w:lang w:val="es-EC"/>
                            </w:rPr>
                          </w:pPr>
                          <w:r>
                            <w:rPr>
                              <w:color w:val="FFFFFF"/>
                              <w:sz w:val="44"/>
                              <w:lang w:val="es-EC"/>
                            </w:rPr>
                            <w:t>Gestión de Anexos</w:t>
                          </w:r>
                        </w:p>
                      </w:txbxContent>
                    </wps:txbx>
                    <wps:bodyPr spcFirstLastPara="1" wrap="square" lIns="0" tIns="0" rIns="0" bIns="0" anchor="t" anchorCtr="0">
                      <a:noAutofit/>
                    </wps:bodyPr>
                  </wps:wsp>
                </a:graphicData>
              </a:graphic>
            </wp:anchor>
          </w:drawing>
        </mc:Choice>
        <mc:Fallback>
          <w:pict>
            <v:rect w14:anchorId="4FEFE908" id="Rectángulo 1836311792" o:spid="_x0000_s1031" style="position:absolute;left:0;text-align:left;margin-left:249pt;margin-top:28pt;width:243pt;height:55.8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" filled="f" stroked="f">
              <v:textbox inset="0,0,0,0">
                <w:txbxContent>
                  <w:p w14:paraId="4DB22713" w14:textId="60DD8C31" w:rsidR="005D7A1E" w:rsidRPr="001271A2" w:rsidRDefault="001271A2">
                    <w:pPr>
                      <w:spacing w:line="240" w:lineRule="auto"/>
                      <w:jc w:val="right"/>
                      <w:textDirection w:val="btLr"/>
                      <w:rPr>
                        <w:lang w:val="es-EC"/>
                      </w:rPr>
                    </w:pPr>
                    <w:r>
                      <w:rPr>
                        <w:color w:val="FFFFFF"/>
                        <w:sz w:val="44"/>
                        <w:lang w:val="es-EC"/>
                      </w:rPr>
                      <w:t>Gestión de Anexos</w:t>
                    </w:r>
                  </w:p>
                </w:txbxContent>
              </v:textbox>
            </v:rect>
          </w:pict>
        </mc:Fallback>
      </mc:AlternateContent>
    </w:r>
  </w:p>
  <w:p w14:paraId="1A87003C" w14:textId="77777777" w:rsidR="005D7A1E" w:rsidRDefault="005D7A1E"/>
  <w:p w14:paraId="4820C774" w14:textId="77777777" w:rsidR="005D7A1E" w:rsidRDefault="005D7A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E68"/>
    <w:multiLevelType w:val="hybridMultilevel"/>
    <w:tmpl w:val="452E44C0"/>
    <w:lvl w:ilvl="0" w:tplc="4F06FF8A">
      <w:start w:val="3"/>
      <w:numFmt w:val="bullet"/>
      <w:lvlText w:val="-"/>
      <w:lvlJc w:val="left"/>
      <w:pPr>
        <w:ind w:left="720" w:hanging="360"/>
      </w:pPr>
      <w:rPr>
        <w:rFonts w:ascii="Aptos" w:eastAsiaTheme="minorHAnsi" w:hAnsi="Apto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3EC7D53"/>
    <w:multiLevelType w:val="hybridMultilevel"/>
    <w:tmpl w:val="7652BF16"/>
    <w:lvl w:ilvl="0" w:tplc="4F06FF8A">
      <w:start w:val="3"/>
      <w:numFmt w:val="bullet"/>
      <w:lvlText w:val="-"/>
      <w:lvlJc w:val="left"/>
      <w:pPr>
        <w:ind w:left="720" w:hanging="360"/>
      </w:pPr>
      <w:rPr>
        <w:rFonts w:ascii="Aptos" w:eastAsiaTheme="minorHAnsi" w:hAnsi="Apto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7A23C81"/>
    <w:multiLevelType w:val="multilevel"/>
    <w:tmpl w:val="B786311E"/>
    <w:lvl w:ilvl="0">
      <w:start w:val="5"/>
      <w:numFmt w:val="decimal"/>
      <w:lvlText w:val="%1"/>
      <w:lvlJc w:val="left"/>
      <w:pPr>
        <w:ind w:left="420" w:hanging="420"/>
      </w:pPr>
      <w:rPr>
        <w:rFonts w:hint="default"/>
        <w:b/>
        <w:color w:val="0000A4"/>
        <w:sz w:val="30"/>
      </w:rPr>
    </w:lvl>
    <w:lvl w:ilvl="1">
      <w:start w:val="1"/>
      <w:numFmt w:val="decimal"/>
      <w:lvlText w:val="%1.%2"/>
      <w:lvlJc w:val="left"/>
      <w:pPr>
        <w:ind w:left="420" w:hanging="420"/>
      </w:pPr>
      <w:rPr>
        <w:rFonts w:hint="default"/>
        <w:b/>
        <w:color w:val="0000A4"/>
        <w:sz w:val="30"/>
      </w:rPr>
    </w:lvl>
    <w:lvl w:ilvl="2">
      <w:start w:val="1"/>
      <w:numFmt w:val="decimal"/>
      <w:lvlText w:val="%1.%2.%3"/>
      <w:lvlJc w:val="left"/>
      <w:pPr>
        <w:ind w:left="720" w:hanging="720"/>
      </w:pPr>
      <w:rPr>
        <w:rFonts w:hint="default"/>
        <w:b/>
        <w:color w:val="0000A4"/>
        <w:sz w:val="30"/>
      </w:rPr>
    </w:lvl>
    <w:lvl w:ilvl="3">
      <w:start w:val="1"/>
      <w:numFmt w:val="decimal"/>
      <w:lvlText w:val="%1.%2.%3.%4"/>
      <w:lvlJc w:val="left"/>
      <w:pPr>
        <w:ind w:left="720" w:hanging="720"/>
      </w:pPr>
      <w:rPr>
        <w:rFonts w:hint="default"/>
        <w:b/>
        <w:color w:val="0000A4"/>
        <w:sz w:val="30"/>
      </w:rPr>
    </w:lvl>
    <w:lvl w:ilvl="4">
      <w:start w:val="1"/>
      <w:numFmt w:val="decimal"/>
      <w:lvlText w:val="%1.%2.%3.%4.%5"/>
      <w:lvlJc w:val="left"/>
      <w:pPr>
        <w:ind w:left="1080" w:hanging="1080"/>
      </w:pPr>
      <w:rPr>
        <w:rFonts w:hint="default"/>
        <w:b/>
        <w:color w:val="0000A4"/>
        <w:sz w:val="30"/>
      </w:rPr>
    </w:lvl>
    <w:lvl w:ilvl="5">
      <w:start w:val="1"/>
      <w:numFmt w:val="decimal"/>
      <w:lvlText w:val="%1.%2.%3.%4.%5.%6"/>
      <w:lvlJc w:val="left"/>
      <w:pPr>
        <w:ind w:left="1080" w:hanging="1080"/>
      </w:pPr>
      <w:rPr>
        <w:rFonts w:hint="default"/>
        <w:b/>
        <w:color w:val="0000A4"/>
        <w:sz w:val="30"/>
      </w:rPr>
    </w:lvl>
    <w:lvl w:ilvl="6">
      <w:start w:val="1"/>
      <w:numFmt w:val="decimal"/>
      <w:lvlText w:val="%1.%2.%3.%4.%5.%6.%7"/>
      <w:lvlJc w:val="left"/>
      <w:pPr>
        <w:ind w:left="1440" w:hanging="1440"/>
      </w:pPr>
      <w:rPr>
        <w:rFonts w:hint="default"/>
        <w:b/>
        <w:color w:val="0000A4"/>
        <w:sz w:val="30"/>
      </w:rPr>
    </w:lvl>
    <w:lvl w:ilvl="7">
      <w:start w:val="1"/>
      <w:numFmt w:val="decimal"/>
      <w:lvlText w:val="%1.%2.%3.%4.%5.%6.%7.%8"/>
      <w:lvlJc w:val="left"/>
      <w:pPr>
        <w:ind w:left="1440" w:hanging="1440"/>
      </w:pPr>
      <w:rPr>
        <w:rFonts w:hint="default"/>
        <w:b/>
        <w:color w:val="0000A4"/>
        <w:sz w:val="30"/>
      </w:rPr>
    </w:lvl>
    <w:lvl w:ilvl="8">
      <w:start w:val="1"/>
      <w:numFmt w:val="decimal"/>
      <w:lvlText w:val="%1.%2.%3.%4.%5.%6.%7.%8.%9"/>
      <w:lvlJc w:val="left"/>
      <w:pPr>
        <w:ind w:left="1800" w:hanging="1800"/>
      </w:pPr>
      <w:rPr>
        <w:rFonts w:hint="default"/>
        <w:b/>
        <w:color w:val="0000A4"/>
        <w:sz w:val="30"/>
      </w:rPr>
    </w:lvl>
  </w:abstractNum>
  <w:abstractNum w:abstractNumId="3" w15:restartNumberingAfterBreak="0">
    <w:nsid w:val="5C696DD3"/>
    <w:multiLevelType w:val="hybridMultilevel"/>
    <w:tmpl w:val="84EE4776"/>
    <w:lvl w:ilvl="0" w:tplc="16227E16">
      <w:start w:val="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2A479B2"/>
    <w:multiLevelType w:val="hybridMultilevel"/>
    <w:tmpl w:val="36E0AD12"/>
    <w:lvl w:ilvl="0" w:tplc="4F06FF8A">
      <w:start w:val="3"/>
      <w:numFmt w:val="bullet"/>
      <w:lvlText w:val="-"/>
      <w:lvlJc w:val="left"/>
      <w:pPr>
        <w:ind w:left="720" w:hanging="360"/>
      </w:pPr>
      <w:rPr>
        <w:rFonts w:ascii="Aptos" w:eastAsiaTheme="minorHAnsi" w:hAnsi="Apto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26546600">
    <w:abstractNumId w:val="3"/>
  </w:num>
  <w:num w:numId="2" w16cid:durableId="1835955363">
    <w:abstractNumId w:val="2"/>
  </w:num>
  <w:num w:numId="3" w16cid:durableId="1245187386">
    <w:abstractNumId w:val="0"/>
  </w:num>
  <w:num w:numId="4" w16cid:durableId="522785688">
    <w:abstractNumId w:val="4"/>
  </w:num>
  <w:num w:numId="5" w16cid:durableId="762072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1E"/>
    <w:rsid w:val="001271A2"/>
    <w:rsid w:val="00426BF3"/>
    <w:rsid w:val="005B7573"/>
    <w:rsid w:val="005D7A1E"/>
    <w:rsid w:val="00666372"/>
    <w:rsid w:val="00AC0807"/>
    <w:rsid w:val="00AC3A71"/>
    <w:rsid w:val="00E32E4F"/>
    <w:rsid w:val="00F875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F22F1"/>
  <w15:docId w15:val="{B285E5D3-42D9-461C-87A1-3AB1FC24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s-E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Ttulo2">
    <w:name w:val="heading 2"/>
    <w:basedOn w:val="Normal1"/>
    <w:next w:val="Normal1"/>
    <w:uiPriority w:val="9"/>
    <w:semiHidden/>
    <w:unhideWhenUsed/>
    <w:qFormat/>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Ttulo3">
    <w:name w:val="heading 3"/>
    <w:basedOn w:val="Normal1"/>
    <w:next w:val="Normal1"/>
    <w:uiPriority w:val="9"/>
    <w:semiHidden/>
    <w:unhideWhenUsed/>
    <w:qFormat/>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widowControl/>
      <w:pBdr>
        <w:top w:val="nil"/>
        <w:left w:val="nil"/>
        <w:bottom w:val="nil"/>
        <w:right w:val="nil"/>
        <w:between w:val="nil"/>
      </w:pBdr>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widowControl/>
      <w:pBdr>
        <w:top w:val="nil"/>
        <w:left w:val="nil"/>
        <w:bottom w:val="nil"/>
        <w:right w:val="nil"/>
        <w:between w:val="nil"/>
      </w:pBdr>
      <w:spacing w:before="240" w:after="80" w:line="240" w:lineRule="auto"/>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uiPriority w:val="10"/>
    <w:qFormat/>
    <w:pPr>
      <w:keepNext/>
      <w:keepLines/>
      <w:widowControl/>
      <w:pBdr>
        <w:top w:val="nil"/>
        <w:left w:val="nil"/>
        <w:bottom w:val="nil"/>
        <w:right w:val="nil"/>
        <w:between w:val="nil"/>
      </w:pBdr>
      <w:spacing w:after="60" w:line="240" w:lineRule="auto"/>
    </w:pPr>
    <w:rPr>
      <w:color w:val="000000"/>
      <w:sz w:val="52"/>
      <w:szCs w:val="52"/>
    </w:rPr>
  </w:style>
  <w:style w:type="paragraph" w:customStyle="1" w:styleId="Normal1">
    <w:name w:val="Normal1"/>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widowControl/>
      <w:pBdr>
        <w:top w:val="nil"/>
        <w:left w:val="nil"/>
        <w:bottom w:val="nil"/>
        <w:right w:val="nil"/>
        <w:between w:val="nil"/>
      </w:pBdr>
      <w:spacing w:after="320" w:line="240" w:lineRule="auto"/>
    </w:pPr>
    <w:rPr>
      <w:color w:val="666666"/>
      <w:sz w:val="30"/>
      <w:szCs w:val="30"/>
    </w:rPr>
  </w:style>
  <w:style w:type="paragraph" w:styleId="Textodeglobo">
    <w:name w:val="Balloon Text"/>
    <w:basedOn w:val="Normal"/>
    <w:link w:val="TextodegloboCar"/>
    <w:uiPriority w:val="99"/>
    <w:semiHidden/>
    <w:unhideWhenUsed/>
    <w:rsid w:val="00155519"/>
    <w:pPr>
      <w:spacing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155519"/>
    <w:rPr>
      <w:rFonts w:ascii="Lucida Grande" w:hAnsi="Lucida Grande"/>
      <w:sz w:val="18"/>
      <w:szCs w:val="18"/>
    </w:rPr>
  </w:style>
  <w:style w:type="paragraph" w:styleId="Encabezado">
    <w:name w:val="header"/>
    <w:basedOn w:val="Normal"/>
    <w:link w:val="EncabezadoCar"/>
    <w:uiPriority w:val="99"/>
    <w:unhideWhenUsed/>
    <w:rsid w:val="0015551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55519"/>
  </w:style>
  <w:style w:type="paragraph" w:styleId="Piedepgina">
    <w:name w:val="footer"/>
    <w:basedOn w:val="Normal"/>
    <w:link w:val="PiedepginaCar"/>
    <w:uiPriority w:val="99"/>
    <w:unhideWhenUsed/>
    <w:rsid w:val="0015551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55519"/>
  </w:style>
  <w:style w:type="paragraph" w:styleId="Sinespaciado">
    <w:name w:val="No Spacing"/>
    <w:link w:val="SinespaciadoCar"/>
    <w:uiPriority w:val="1"/>
    <w:qFormat/>
    <w:rsid w:val="00BB27C0"/>
    <w:pPr>
      <w:widowControl/>
      <w:spacing w:line="240" w:lineRule="auto"/>
    </w:pPr>
    <w:rPr>
      <w:rFonts w:asciiTheme="minorHAnsi" w:eastAsiaTheme="minorEastAsia" w:hAnsiTheme="minorHAnsi" w:cstheme="minorBidi"/>
      <w:lang w:eastAsia="zh-CN"/>
    </w:rPr>
  </w:style>
  <w:style w:type="character" w:customStyle="1" w:styleId="SinespaciadoCar">
    <w:name w:val="Sin espaciado Car"/>
    <w:basedOn w:val="Fuentedeprrafopredeter"/>
    <w:link w:val="Sinespaciado"/>
    <w:uiPriority w:val="1"/>
    <w:rsid w:val="00BB27C0"/>
    <w:rPr>
      <w:rFonts w:asciiTheme="minorHAnsi" w:eastAsiaTheme="minorEastAsia" w:hAnsiTheme="minorHAnsi" w:cstheme="minorBidi"/>
      <w:lang w:val="en-US" w:eastAsia="zh-CN"/>
    </w:rPr>
  </w:style>
  <w:style w:type="paragraph" w:styleId="Textoindependiente">
    <w:name w:val="Body Text"/>
    <w:basedOn w:val="Normal"/>
    <w:link w:val="TextoindependienteCar"/>
    <w:uiPriority w:val="1"/>
    <w:qFormat/>
    <w:rsid w:val="00BB27C0"/>
    <w:pPr>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BB27C0"/>
    <w:rPr>
      <w:rFonts w:ascii="Arial MT" w:eastAsia="Arial MT" w:hAnsi="Arial MT" w:cs="Arial MT"/>
      <w:sz w:val="24"/>
      <w:szCs w:val="24"/>
      <w:lang w:val="es-ES" w:eastAsia="en-US"/>
    </w:rPr>
  </w:style>
  <w:style w:type="character" w:styleId="Hipervnculo">
    <w:name w:val="Hyperlink"/>
    <w:basedOn w:val="Fuentedeprrafopredeter"/>
    <w:uiPriority w:val="99"/>
    <w:unhideWhenUsed/>
    <w:rsid w:val="003D76A5"/>
    <w:rPr>
      <w:color w:val="0000FF" w:themeColor="hyperlink"/>
      <w:u w:val="single"/>
    </w:rPr>
  </w:style>
  <w:style w:type="character" w:styleId="Mencinsinresolver">
    <w:name w:val="Unresolved Mention"/>
    <w:basedOn w:val="Fuentedeprrafopredeter"/>
    <w:uiPriority w:val="99"/>
    <w:semiHidden/>
    <w:unhideWhenUsed/>
    <w:rsid w:val="003D76A5"/>
    <w:rPr>
      <w:color w:val="605E5C"/>
      <w:shd w:val="clear" w:color="auto" w:fill="E1DFDD"/>
    </w:rPr>
  </w:style>
  <w:style w:type="paragraph" w:styleId="Prrafodelista">
    <w:name w:val="List Paragraph"/>
    <w:basedOn w:val="Normal"/>
    <w:uiPriority w:val="34"/>
    <w:qFormat/>
    <w:rsid w:val="001271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ZD4pgujd30FoDxRNiKVPMcnUw==">CgMxLjAyCGguZ2pkZ3hzOAByITFtbjM1UFJ0bzF5VjV3eTZ4SFVOdHBTR1gxaXIxZHQ3aA==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2405</Words>
  <Characters>16192</Characters>
  <Application>Microsoft Office Word</Application>
  <DocSecurity>0</DocSecurity>
  <Lines>368</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Anchundia Valencia, Carlos Eduardo</cp:lastModifiedBy>
  <cp:revision>5</cp:revision>
  <dcterms:created xsi:type="dcterms:W3CDTF">2023-06-01T18:46:00Z</dcterms:created>
  <dcterms:modified xsi:type="dcterms:W3CDTF">2026-09-10T13:13:00Z</dcterms:modified>
</cp:coreProperties>
</file>