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color w:val="000000"/>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-914399</wp:posOffset>
                </wp:positionH>
                <wp:positionV relativeFrom="paragraph">
                  <wp:posOffset>9156700</wp:posOffset>
                </wp:positionV>
                <wp:extent cx="7555049" cy="270510"/>
                <wp:effectExtent b="0" l="0" r="0" t="0"/>
                <wp:wrapNone/>
                <wp:docPr id="1836311797" name=""/>
                <a:graphic>
                  <a:graphicData uri="http://schemas.microsoft.com/office/word/2010/wordprocessingShape">
                    <wps:wsp>
                      <wps:cNvSpPr/>
                      <wps:cNvPr id="7" name="Shape 7"/>
                      <wps:spPr>
                        <a:xfrm>
                          <a:off x="1573238" y="3649508"/>
                          <a:ext cx="7545524" cy="260985"/>
                        </a:xfrm>
                        <a:prstGeom prst="rect">
                          <a:avLst/>
                        </a:prstGeom>
                        <a:solidFill>
                          <a:srgbClr val="0000A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-914399</wp:posOffset>
                </wp:positionH>
                <wp:positionV relativeFrom="paragraph">
                  <wp:posOffset>9156700</wp:posOffset>
                </wp:positionV>
                <wp:extent cx="7555049" cy="270510"/>
                <wp:effectExtent b="0" l="0" r="0" t="0"/>
                <wp:wrapNone/>
                <wp:docPr id="1836311797"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7555049" cy="27051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3632200</wp:posOffset>
            </wp:positionH>
            <wp:positionV relativeFrom="paragraph">
              <wp:posOffset>2792730</wp:posOffset>
            </wp:positionV>
            <wp:extent cx="2175510" cy="1154430"/>
            <wp:effectExtent b="0" l="0" r="0" t="0"/>
            <wp:wrapNone/>
            <wp:docPr id="183631180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175510" cy="1154430"/>
                    </a:xfrm>
                    <a:prstGeom prst="rect"/>
                    <a:ln/>
                  </pic:spPr>
                </pic:pic>
              </a:graphicData>
            </a:graphic>
          </wp:anchor>
        </w:drawing>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266700</wp:posOffset>
                </wp:positionH>
                <wp:positionV relativeFrom="paragraph">
                  <wp:posOffset>5994400</wp:posOffset>
                </wp:positionV>
                <wp:extent cx="0" cy="12700"/>
                <wp:effectExtent b="0" l="0" r="0" t="0"/>
                <wp:wrapNone/>
                <wp:docPr id="1836311794" name=""/>
                <a:graphic>
                  <a:graphicData uri="http://schemas.microsoft.com/office/word/2010/wordprocessingShape">
                    <wps:wsp>
                      <wps:cNvCnPr/>
                      <wps:spPr>
                        <a:xfrm>
                          <a:off x="2516440" y="3780000"/>
                          <a:ext cx="5659120" cy="0"/>
                        </a:xfrm>
                        <a:prstGeom prst="straightConnector1">
                          <a:avLst/>
                        </a:prstGeom>
                        <a:noFill/>
                        <a:ln cap="flat" cmpd="sng" w="9525">
                          <a:solidFill>
                            <a:srgbClr val="0000A4"/>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266700</wp:posOffset>
                </wp:positionH>
                <wp:positionV relativeFrom="paragraph">
                  <wp:posOffset>5994400</wp:posOffset>
                </wp:positionV>
                <wp:extent cx="0" cy="12700"/>
                <wp:effectExtent b="0" l="0" r="0" t="0"/>
                <wp:wrapNone/>
                <wp:docPr id="1836311794"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266700</wp:posOffset>
                </wp:positionH>
                <wp:positionV relativeFrom="paragraph">
                  <wp:posOffset>4630420</wp:posOffset>
                </wp:positionV>
                <wp:extent cx="5748655" cy="1269365"/>
                <wp:effectExtent b="0" l="0" r="0" t="0"/>
                <wp:wrapSquare wrapText="bothSides" distB="45720" distT="45720" distL="114300" distR="114300"/>
                <wp:docPr id="1836311795" name=""/>
                <a:graphic>
                  <a:graphicData uri="http://schemas.microsoft.com/office/word/2010/wordprocessingShape">
                    <wps:wsp>
                      <wps:cNvSpPr/>
                      <wps:cNvPr id="5" name="Shape 5"/>
                      <wps:spPr>
                        <a:xfrm>
                          <a:off x="2476435" y="3150080"/>
                          <a:ext cx="5739130" cy="1259840"/>
                        </a:xfrm>
                        <a:prstGeom prst="rect">
                          <a:avLst/>
                        </a:prstGeom>
                        <a:noFill/>
                        <a:ln>
                          <a:noFill/>
                        </a:ln>
                      </wps:spPr>
                      <wps:txbx>
                        <w:txbxContent>
                          <w:p w:rsidR="00000000" w:rsidDel="00000000" w:rsidP="00000000" w:rsidRDefault="00000000" w:rsidRPr="00000000">
                            <w:pPr>
                              <w:spacing w:after="0" w:before="0" w:line="192.00000286102295"/>
                              <w:ind w:left="0" w:right="0" w:firstLine="0"/>
                              <w:jc w:val="right"/>
                              <w:textDirection w:val="btLr"/>
                            </w:pPr>
                            <w:r w:rsidDel="00000000" w:rsidR="00000000" w:rsidRPr="00000000">
                              <w:rPr>
                                <w:rFonts w:ascii="Arial" w:cs="Arial" w:eastAsia="Arial" w:hAnsi="Arial"/>
                                <w:b w:val="1"/>
                                <w:i w:val="0"/>
                                <w:smallCaps w:val="0"/>
                                <w:strike w:val="0"/>
                                <w:color w:val="0000a4"/>
                                <w:sz w:val="92"/>
                                <w:vertAlign w:val="baseline"/>
                              </w:rPr>
                              <w:t xml:space="preserve">Sistema de Gestión de Anexos (GAN) — Transferencia de Conocimiento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266700</wp:posOffset>
                </wp:positionH>
                <wp:positionV relativeFrom="paragraph">
                  <wp:posOffset>4630420</wp:posOffset>
                </wp:positionV>
                <wp:extent cx="5748655" cy="1269365"/>
                <wp:effectExtent b="0" l="0" r="0" t="0"/>
                <wp:wrapSquare wrapText="bothSides" distB="45720" distT="45720" distL="114300" distR="114300"/>
                <wp:docPr id="1836311795"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5748655" cy="1269365"/>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88901</wp:posOffset>
                </wp:positionH>
                <wp:positionV relativeFrom="paragraph">
                  <wp:posOffset>6116320</wp:posOffset>
                </wp:positionV>
                <wp:extent cx="6092190" cy="1414145"/>
                <wp:effectExtent b="0" l="0" r="0" t="0"/>
                <wp:wrapSquare wrapText="bothSides" distB="45720" distT="45720" distL="114300" distR="114300"/>
                <wp:docPr id="1836311796" name=""/>
                <a:graphic>
                  <a:graphicData uri="http://schemas.microsoft.com/office/word/2010/wordprocessingShape">
                    <wps:wsp>
                      <wps:cNvSpPr/>
                      <wps:cNvPr id="6" name="Shape 6"/>
                      <wps:spPr>
                        <a:xfrm>
                          <a:off x="2304668" y="3077690"/>
                          <a:ext cx="6082665" cy="1404620"/>
                        </a:xfrm>
                        <a:prstGeom prst="rect">
                          <a:avLst/>
                        </a:prstGeom>
                        <a:no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Arial MT" w:cs="Arial MT" w:eastAsia="Arial MT" w:hAnsi="Arial MT"/>
                                <w:b w:val="0"/>
                                <w:i w:val="0"/>
                                <w:smallCaps w:val="0"/>
                                <w:strike w:val="0"/>
                                <w:color w:val="404040"/>
                                <w:sz w:val="24"/>
                                <w:vertAlign w:val="baseline"/>
                              </w:rPr>
                              <w:t xml:space="preserve">Frontend sri-gestion-anexos-web e integración con los microservicios backend, SSO y esquema bearer-only </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88901</wp:posOffset>
                </wp:positionH>
                <wp:positionV relativeFrom="paragraph">
                  <wp:posOffset>6116320</wp:posOffset>
                </wp:positionV>
                <wp:extent cx="6092190" cy="1414145"/>
                <wp:effectExtent b="0" l="0" r="0" t="0"/>
                <wp:wrapSquare wrapText="bothSides" distB="45720" distT="45720" distL="114300" distR="114300"/>
                <wp:docPr id="1836311796"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6092190" cy="1414145"/>
                        </a:xfrm>
                        <a:prstGeom prst="rect"/>
                        <a:ln/>
                      </pic:spPr>
                    </pic:pic>
                  </a:graphicData>
                </a:graphic>
              </wp:anchor>
            </w:drawing>
          </mc:Fallback>
        </mc:AlternateConten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38101</wp:posOffset>
                </wp:positionH>
                <wp:positionV relativeFrom="paragraph">
                  <wp:posOffset>9151620</wp:posOffset>
                </wp:positionV>
                <wp:extent cx="6092190" cy="293925"/>
                <wp:effectExtent b="0" l="0" r="0" t="0"/>
                <wp:wrapNone/>
                <wp:docPr id="1836311793" name=""/>
                <a:graphic>
                  <a:graphicData uri="http://schemas.microsoft.com/office/word/2010/wordprocessingShape">
                    <wps:wsp>
                      <wps:cNvSpPr/>
                      <wps:cNvPr id="3" name="Shape 3"/>
                      <wps:spPr>
                        <a:xfrm>
                          <a:off x="2304668" y="3637800"/>
                          <a:ext cx="6082665" cy="284400"/>
                        </a:xfrm>
                        <a:prstGeom prst="rect">
                          <a:avLst/>
                        </a:prstGeom>
                        <a:noFill/>
                        <a:ln>
                          <a:noFill/>
                        </a:ln>
                      </wps:spPr>
                      <wps:txbx>
                        <w:txbxContent>
                          <w:p w:rsidR="00000000" w:rsidDel="00000000" w:rsidP="00000000" w:rsidRDefault="00000000" w:rsidRPr="00000000">
                            <w:pPr>
                              <w:spacing w:after="0" w:before="1.0000000149011612" w:line="240"/>
                              <w:ind w:left="0" w:right="168.99999618530273" w:firstLine="0"/>
                              <w:jc w:val="right"/>
                              <w:textDirection w:val="btLr"/>
                            </w:pPr>
                            <w:r w:rsidDel="00000000" w:rsidR="00000000" w:rsidRPr="00000000">
                              <w:rPr>
                                <w:rFonts w:ascii="Arial" w:cs="Arial" w:eastAsia="Arial" w:hAnsi="Arial"/>
                                <w:b w:val="0"/>
                                <w:i w:val="0"/>
                                <w:smallCaps w:val="0"/>
                                <w:strike w:val="0"/>
                                <w:color w:val="ffffff"/>
                                <w:sz w:val="28"/>
                                <w:vertAlign w:val="baseline"/>
                              </w:rPr>
                              <w:t xml:space="preserve">www.sri.gob.ec</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38101</wp:posOffset>
                </wp:positionH>
                <wp:positionV relativeFrom="paragraph">
                  <wp:posOffset>9151620</wp:posOffset>
                </wp:positionV>
                <wp:extent cx="6092190" cy="293925"/>
                <wp:effectExtent b="0" l="0" r="0" t="0"/>
                <wp:wrapNone/>
                <wp:docPr id="1836311793"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6092190" cy="2939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-913871</wp:posOffset>
            </wp:positionH>
            <wp:positionV relativeFrom="paragraph">
              <wp:posOffset>195580</wp:posOffset>
            </wp:positionV>
            <wp:extent cx="3498162" cy="2362756"/>
            <wp:effectExtent b="0" l="0" r="0" t="0"/>
            <wp:wrapNone/>
            <wp:docPr id="1836311800" name="image3.png"/>
            <a:graphic>
              <a:graphicData uri="http://schemas.openxmlformats.org/drawingml/2006/picture">
                <pic:pic>
                  <pic:nvPicPr>
                    <pic:cNvPr id="0" name="image3.png"/>
                    <pic:cNvPicPr preferRelativeResize="0"/>
                  </pic:nvPicPr>
                  <pic:blipFill>
                    <a:blip r:embed="rId13"/>
                    <a:srcRect b="0" l="930" r="0" t="0"/>
                    <a:stretch>
                      <a:fillRect/>
                    </a:stretch>
                  </pic:blipFill>
                  <pic:spPr>
                    <a:xfrm>
                      <a:off x="0" y="0"/>
                      <a:ext cx="3498162" cy="2362756"/>
                    </a:xfrm>
                    <a:prstGeom prst="rect"/>
                    <a:ln/>
                  </pic:spPr>
                </pic:pic>
              </a:graphicData>
            </a:graphic>
          </wp:anchor>
        </w:draw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pPr>
        <w:pageBreakBefore w:val="1"/>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1. Introducción y alcance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Este documento resume, a nivel conceptual, el funcionamiento del Sistema de Gestión de Anexos (GAN): la aplicación web (frontend), su núcleo ("core"), el módulo de plantillas y aprobación, y cómo se integra con el ecosistema de microservicios backend, el inicio de sesión único (SSO) vía Keycloak y el esquema de clientes bearer-only.</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El objetivo es que el equipo que asume el mantenimiento del sistema tenga una guía clara del "qué es cada cosa y cómo se conecta", sin necesidad de leer todo el código línea por línea. Para el detalle exacto de clases, métodos o configuraciones puntuales, siempre se debe volver al código fuente como fuente de verdad; este documento es un mapa, no un manual exhaustivo.</w:t>
      </w:r>
    </w:p>
    <w:p>
      <w:pPr>
        <w:keepNext w:val="0"/>
        <w:keepLines w:val="0"/>
        <w:pageBreakBefore w:val="0"/>
        <w:widowControl w:val="0"/>
        <w:pBdr>
          <w:left w:val="single" w:sz="18" w:space="8" w:color="0000A4"/>
        </w:pBdr>
        <w:shd w:fill="E9E8F8" w:val="clear"/>
        <w:spacing w:after="220" w:before="120" w:line="276" w:lineRule="auto"/>
        <w:ind w:left="140" w:right="0" w:firstLine="0"/>
        <w:jc w:val="both"/>
      </w:pPr>
      <w:r>
        <w:rPr>
          <w:rFonts w:ascii="Arial" w:cs="Arial" w:eastAsia="Arial" w:hAnsi="Arial"/>
          <w:b w:val="1"/>
          <w:i w:val="0"/>
          <w:smallCaps w:val="0"/>
          <w:strike w:val="0"/>
          <w:color w:val="0000A4"/>
          <w:sz w:val="20"/>
          <w:szCs w:val="20"/>
          <w:u w:val="none"/>
          <w:shd w:fill="auto" w:val="clear"/>
          <w:vertAlign w:val="baseline"/>
        </w:rPr>
        <w:t xml:space="preserve">Alcance cubierto: </w:t>
      </w:r>
      <w:r>
        <w:rPr>
          <w:rFonts w:ascii="Arial" w:cs="Arial" w:eastAsia="Arial" w:hAnsi="Arial"/>
          <w:b w:val="0"/>
          <w:i w:val="0"/>
          <w:smallCaps w:val="0"/>
          <w:strike w:val="0"/>
          <w:color w:val="000000"/>
          <w:sz w:val="20"/>
          <w:szCs w:val="20"/>
          <w:u w:val="none"/>
          <w:shd w:fill="auto" w:val="clear"/>
          <w:vertAlign w:val="baseline"/>
        </w:rPr>
        <w:t xml:space="preserve">Frontend sri-gestion-anexos-web (core, módulo plantilla/aprobación, integración SSO) y los proyectos backend sri-autorizacion-api, sri-anexos-catalogos-service, sri-anexos-estructura-service y sri-anexos-habilitacion-service, incluyendo la comunicación interna entre estos últimos.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A lo largo del documento se usan recuadros de advertencia para señalar puntos que se detectaron en el código durante esta revisión y que conviene validar con el equipo antes de tomarlos como definitivos — así se evita dejar afirmaciones sin sustento en un documento que va a quedar como referencia.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2. Visión general del sistema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GAN es la aplicación mediante la cual los usuarios diseñan plantillas de anexos/formularios, las someten a un flujo de revisión y aprobación, y las publican para que estén disponibles operativamente. El sistema está compuesto por una única aplicación web (SPA) que conversa con cuatro microservicios backend independientes, todos protegidos mediante autenticación centralizada en Keycloak (SSO Intranet del SRI).</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2.1 Componentes principales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tcW w:w="14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Componente</w:t>
            </w:r>
          </w:p>
        </w:tc>
        <w:tc>
          <w:tcPr>
            <w:tcW w:w="11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Tipo</w:t>
            </w:r>
          </w:p>
        </w:tc>
        <w:tc>
          <w:tcPr>
            <w:tcW w:w="25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Responsabilidad principal</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sri-gestion-anexos-web</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Frontend (Vue 3 SPA)</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Interfaz de usuario: diseño de plantillas, flujo de aprobación, catálogos, autorización visual</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sri-autorizacion-api</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Backend (Quarkus)</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Autorización de accesos: qué perfiles/módulos/menús puede ver cada usuario</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sri-anexos-catalogos-service</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Backend (Quarkus)</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Catálogos del sistema: catálogos y detalles, operativos, usuarios-anexo, campos de información, mensajes</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sri-anexos-estructura-service</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Backend (Quarkus)</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CRUD y datos de la plantilla del anexo ("estructura" del formulario)</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sri-anexos-habilitacion-service</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Backend (Quarkus)</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Motor de transiciones de estado: solicitar revisión, aprobar, rechazar, publicar</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Keycloak (realm Intranet)</w:t>
            </w:r>
          </w:p>
        </w:tc>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SSO / Identity Provider</w:t>
            </w:r>
          </w:p>
        </w:tc>
        <w:tc>
          <w:tcPr>
            <w:tcW w:w="2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Autenticación centralizada, emisión de tokens JWT</w:t>
            </w:r>
          </w:p>
        </w:tc>
      </w:tr>
    </w:tbl>
    <w:p>
      <w:pPr>
        <w:spacing w:after="160"/>
      </w:pPr>
    </w:p>
    <w:p>
      <w:pPr>
        <w:keepNext w:val="0"/>
        <w:keepLines w:val="0"/>
        <w:pageBreakBefore w:val="0"/>
        <w:widowControl w:val="0"/>
        <w:pBdr>
          <w:left w:val="single" w:sz="18" w:space="8" w:color="0000A4"/>
        </w:pBdr>
        <w:shd w:fill="E9E8F8" w:val="clear"/>
        <w:spacing w:after="220" w:before="120" w:line="276" w:lineRule="auto"/>
        <w:ind w:left="140" w:right="0" w:firstLine="0"/>
        <w:jc w:val="both"/>
      </w:pPr>
      <w:r>
        <w:rPr>
          <w:rFonts w:ascii="Arial" w:cs="Arial" w:eastAsia="Arial" w:hAnsi="Arial"/>
          <w:b w:val="1"/>
          <w:i w:val="0"/>
          <w:smallCaps w:val="0"/>
          <w:strike w:val="0"/>
          <w:color w:val="0000A4"/>
          <w:sz w:val="20"/>
          <w:szCs w:val="20"/>
          <w:u w:val="none"/>
          <w:shd w:fill="auto" w:val="clear"/>
          <w:vertAlign w:val="baseline"/>
        </w:rPr>
        <w:t xml:space="preserve">Nota sobre nombres: </w:t>
      </w:r>
      <w:r>
        <w:rPr>
          <w:rFonts w:ascii="Arial" w:cs="Arial" w:eastAsia="Arial" w:hAnsi="Arial"/>
          <w:b w:val="0"/>
          <w:i w:val="0"/>
          <w:smallCaps w:val="0"/>
          <w:strike w:val="0"/>
          <w:color w:val="000000"/>
          <w:sz w:val="20"/>
          <w:szCs w:val="20"/>
          <w:u w:val="none"/>
          <w:shd w:fill="auto" w:val="clear"/>
          <w:vertAlign w:val="baseline"/>
        </w:rPr>
        <w:t xml:space="preserve">El proyecto backend correcto para catálogos es sri-anexos-catalogos-service (puerto 8782 en desarrollo, root-path /catalogos/api/v1) — coincide exacto con lo que espera el frontend y con lo que llama sri-anexos-estructura-service. Existe además una carpeta separada sri-anexos-base-service, más antigua y con README genérico sin terminar, que ningún otro servicio ni el frontend referencian — ver nota en la sección 9.</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3. Arquitectura general del ecosistema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Todos los backends de este ecosistema comparten el mismo patrón arquitectónico. Esto no es una coincidencia: los cuatro microservicios de negocio (autorización, catálogos, estructura, habilitación) fueron construidos siguiendo la misma plantilla base. Para explicar el patrón se usa como referencia sri-anexos-estructura-service, cuyo código fuente se revisó directamente para esta sección.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3.1 Patrón arquitectónico de los backends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Enfoque: </w:t>
      </w:r>
      <w:r>
        <w:rPr>
          <w:rFonts w:ascii="Arial" w:cs="Arial" w:eastAsia="Arial" w:hAnsi="Arial"/>
          <w:b w:val="0"/>
          <w:i w:val="0"/>
          <w:smallCaps w:val="0"/>
          <w:strike w:val="0"/>
          <w:color w:val="000000"/>
          <w:sz w:val="21"/>
          <w:szCs w:val="21"/>
          <w:u w:val="none"/>
          <w:shd w:fill="auto" w:val="clear"/>
          <w:vertAlign w:val="baseline"/>
        </w:rPr>
        <w:t xml:space="preserve">Arquitectura Hexagonal (Puertos y Adaptadores) combinada con Clean Architecture y principios de Domain-Driven Design (DDD).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Stack: </w:t>
      </w:r>
      <w:r>
        <w:rPr>
          <w:rFonts w:ascii="Arial" w:cs="Arial" w:eastAsia="Arial" w:hAnsi="Arial"/>
          <w:b w:val="0"/>
          <w:i w:val="0"/>
          <w:smallCaps w:val="0"/>
          <w:strike w:val="0"/>
          <w:color w:val="000000"/>
          <w:sz w:val="21"/>
          <w:szCs w:val="21"/>
          <w:u w:val="none"/>
          <w:shd w:fill="auto" w:val="clear"/>
          <w:vertAlign w:val="baseline"/>
        </w:rPr>
        <w:t xml:space="preserve">Quarkus 3.29 sobre Java 21, con persistencia reactiva (Hibernate Reactive Panache + Mutiny) contra base de datos Oracle.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Capa infraestructura: </w:t>
      </w:r>
      <w:r>
        <w:rPr>
          <w:rFonts w:ascii="Arial" w:cs="Arial" w:eastAsia="Arial" w:hAnsi="Arial"/>
          <w:b w:val="0"/>
          <w:i w:val="0"/>
          <w:smallCaps w:val="0"/>
          <w:strike w:val="0"/>
          <w:color w:val="000000"/>
          <w:sz w:val="21"/>
          <w:szCs w:val="21"/>
          <w:u w:val="none"/>
          <w:shd w:fill="auto" w:val="clear"/>
          <w:vertAlign w:val="baseline"/>
        </w:rPr>
        <w:t xml:space="preserve">infrastructure/rest — endpoints REST (JAX-RS), documentados con OpenAPI/Swagger y protegidos con OIDC (@Authenticated).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72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infrastructure/persistence — entidades JPA y la implementación del repositorio (adaptador) hacia Oracle.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72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infrastructure/remote — clientes REST (MicroProfile Rest Client) hacia otros microservicios, con su propio servicio de infraestructura que agrega reintentos, circuit breaker y fallback. Ver sección 6.</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72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infrastructure/filter y infrastructure/security — filtros transversales (ej. protección XSS) y utilidades de validación del JWT.</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Capa aplicación: </w:t>
      </w:r>
      <w:r>
        <w:rPr>
          <w:rFonts w:ascii="Arial" w:cs="Arial" w:eastAsia="Arial" w:hAnsi="Arial"/>
          <w:b w:val="0"/>
          <w:i w:val="0"/>
          <w:smallCaps w:val="0"/>
          <w:strike w:val="0"/>
          <w:color w:val="000000"/>
          <w:sz w:val="21"/>
          <w:szCs w:val="21"/>
          <w:u w:val="none"/>
          <w:shd w:fill="auto" w:val="clear"/>
          <w:vertAlign w:val="baseline"/>
        </w:rPr>
        <w:t xml:space="preserve">application/service — orquesta los casos de uso (sin lógica de negocio propia); application/dto — objetos de entrada/salida de la API.</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Capa dominio: </w:t>
      </w:r>
      <w:r>
        <w:rPr>
          <w:rFonts w:ascii="Arial" w:cs="Arial" w:eastAsia="Arial" w:hAnsi="Arial"/>
          <w:b w:val="0"/>
          <w:i w:val="0"/>
          <w:smallCaps w:val="0"/>
          <w:strike w:val="0"/>
          <w:color w:val="000000"/>
          <w:sz w:val="21"/>
          <w:szCs w:val="21"/>
          <w:u w:val="none"/>
          <w:shd w:fill="auto" w:val="clear"/>
          <w:vertAlign w:val="baseline"/>
        </w:rPr>
        <w:t xml:space="preserve">domain/model — el agregado raíz y sus value objects; domain/repository — el "puerto" (interfaz) que la infraestructura implementa; domain/service — reglas de negocio.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Transversal: </w:t>
      </w:r>
      <w:r>
        <w:rPr>
          <w:rFonts w:ascii="Arial" w:cs="Arial" w:eastAsia="Arial" w:hAnsi="Arial"/>
          <w:b w:val="0"/>
          <w:i w:val="0"/>
          <w:smallCaps w:val="0"/>
          <w:strike w:val="0"/>
          <w:color w:val="000000"/>
          <w:sz w:val="21"/>
          <w:szCs w:val="21"/>
          <w:u w:val="none"/>
          <w:shd w:fill="auto" w:val="clear"/>
          <w:vertAlign w:val="baseline"/>
        </w:rPr>
        <w:t xml:space="preserve">shared/exception y shared/error — excepciones de negocio y manejo centralizado de errores HTTP; shared/requests, shared/responses, shared/utils, shared/constant — utilidades comunes (paginación, respuestas, ejemplos de OpenAPI).</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3.2 Flujo típico de una petición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Cliente (frontend u otro microservicio) → filtro de seguridad/XSS → recurso REST (valida la entrada) → servicio de aplicación (traduce DTO a dominio) → repositorio de dominio (puerto) → implementación del repositorio (adaptador, con transacción) → base de datos Oracle → el resultado se traduce de vuelta hacia la respuesta HTTP.</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3.3 Diagrama conceptual</w:t>
      </w:r>
    </w:p>
    <w:p>
      <w:pPr>
        <w:shd w:fill="F2F2F2" w:val="clear"/>
        <w:spacing w:after="160" w:before="0" w:line="240" w:lineRule="auto"/>
        <w:ind w:left="120" w:right="0" w:firstLine="0"/>
      </w:pPr>
      <w:r>
        <w:rPr>
          <w:rFonts w:ascii="Consolas" w:cs="Consolas" w:hAnsi="Consolas"/>
          <w:color w:val="333333"/>
          <w:sz w:val="18"/>
        </w:rPr>
        <w:t xml:space="preserve">Frontend (SPA Vue) ---+
                       +-&gt; sri-autorizacion-api        (perfiles / modulos / menus)
   Keycloak (SSO) &lt;----+
   realm "Intranet"    +-&gt; sri-anexos-catalogos-service (catalogos / operativos)
                       |
                       +-&gt; sri-anexos-estructura-service    (CRUD plantilla)
                       |        |  (llamada interna)
                       |        v
                       +-&gt; sri-anexos-habilitacion-service  (transiciones de estado)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1"/>
          <w:smallCaps w:val="0"/>
          <w:strike w:val="0"/>
          <w:color w:val="000000"/>
          <w:sz w:val="22"/>
          <w:szCs w:val="22"/>
          <w:u w:val="none"/>
          <w:shd w:fill="auto" w:val="clear"/>
          <w:vertAlign w:val="baseline"/>
        </w:rPr>
        <w:t xml:space="preserve">Cada backend valida de forma independiente el token JWT emitido por Keycloak (ver sección 7); no existe una puerta de enlace (API Gateway) central identificada en esta revisión — cada servicio expone su propio root-path y valida su propio token.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4. Frontend — núcleo del sistema ("core")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El proyecto sri-gestion-anexos-web está construido con Vue 3 (Composition API), Vite como bundler, Pinia para el estado global, PrimeVue como librería de componentes visuales, Axios para las llamadas HTTP y keycloak-js para la integración con el SSO.</w:t>
      </w:r>
    </w:p>
    <w:p>
      <w:pPr>
        <w:keepNext w:val="0"/>
        <w:keepLines w:val="0"/>
        <w:pageBreakBefore w:val="0"/>
        <w:widowControl w:val="0"/>
        <w:pBdr>
          <w:left w:val="single" w:sz="18" w:space="8" w:color="B7791F"/>
        </w:pBdr>
        <w:shd w:fill="FFF6E5" w:val="clear"/>
        <w:spacing w:after="220" w:before="120" w:line="276" w:lineRule="auto"/>
        <w:ind w:left="140" w:right="0" w:firstLine="0"/>
        <w:jc w:val="both"/>
      </w:pPr>
      <w:r>
        <w:rPr>
          <w:rFonts w:ascii="Arial" w:cs="Arial" w:eastAsia="Arial" w:hAnsi="Arial"/>
          <w:b w:val="1"/>
          <w:i w:val="0"/>
          <w:smallCaps w:val="0"/>
          <w:strike w:val="0"/>
          <w:color w:val="B7791F"/>
          <w:sz w:val="20"/>
          <w:szCs w:val="20"/>
          <w:u w:val="none"/>
          <w:shd w:fill="auto" w:val="clear"/>
          <w:vertAlign w:val="baseline"/>
        </w:rPr>
        <w:t xml:space="preserve">⚠ Aclaración importante: </w:t>
      </w:r>
      <w:r>
        <w:rPr>
          <w:rFonts w:ascii="Arial" w:cs="Arial" w:eastAsia="Arial" w:hAnsi="Arial"/>
          <w:b w:val="0"/>
          <w:i w:val="0"/>
          <w:smallCaps w:val="0"/>
          <w:strike w:val="0"/>
          <w:color w:val="000000"/>
          <w:sz w:val="20"/>
          <w:szCs w:val="20"/>
          <w:u w:val="none"/>
          <w:shd w:fill="auto" w:val="clear"/>
          <w:vertAlign w:val="baseline"/>
        </w:rPr>
        <w:t xml:space="preserve">El proyecto NO está construido en Angular, sino en Vue 3 + Vite. Cualquier referencia previa a "módulos Angular" no aplica a este código; la organización real es por carpetas de módulo de negocio bajo src/components/.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4.1 Organización del código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No existe una carpeta llamada literalmente "core": las piezas centrales del sistema están distribuidas en varios lugares, pero cumplen ese rol de núcleo transversal del que dependen todos los módulos de negocio.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tcW w:w="11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Pieza</w:t>
            </w:r>
          </w:p>
        </w:tc>
        <w:tc>
          <w:tcPr>
            <w:tcW w:w="15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Ubicación</w:t>
            </w:r>
          </w:p>
        </w:tc>
        <w:tc>
          <w:tcPr>
            <w:tcW w:w="24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Rol</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Inicialización SSO</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src/keycloak/keycloak.js</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Configura e inicializa el cliente Keycloak antes de montar la aplicación</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Interceptor de token</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src/interceptores/TokenInterceptor.js</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Crea instancias Axios con el Bearer token inyectado automáticamente; maneja expiración/401</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Ruteo y autorización</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src/router/RuteoBase.js, AutorizacionGuardian.js</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Define rutas (lazy loading) y valida si el usuario puede acceder a cada módulo</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Estado global (Pinia)</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src/store/*</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UsuarioStore (sesión y autorización), CatalogoStore, FormularioStore, DiseniadorFormularioStore, MensajeStore, CargandoStore, OperativoStore</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Módulo "base"</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src/components/base/</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Página de inicio, páginas de error (acceso no autorizado, 404) y el servicio que consulta sri-autorizacion-api</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Módulo "comun"</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src/components/comun/</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Componentes y composables reutilizables entre módulos: tablas, filtros, mensajes, diálogos, validaciones</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Utilitarios</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src/utilitarios/</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Helpers de configuración SSO, manejo de errores de API, idioma</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Arranque de la app</w:t>
            </w:r>
          </w:p>
        </w:tc>
        <w:tc>
          <w:tcPr>
            <w:tcW w:w="15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src/main.js</w:t>
            </w:r>
          </w:p>
        </w:tc>
        <w:tc>
          <w:tcPr>
            <w:tcW w:w="2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Inicializa Keycloak; si autentica, monta Vue con Pinia, router, PrimeVue, i18n y el detector de inactividad</w:t>
            </w:r>
          </w:p>
        </w:tc>
      </w:tr>
    </w:tbl>
    <w:p>
      <w:pPr>
        <w:spacing w:after="160"/>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4.2 Módulos de negocio identificados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Bajo src/components/ cada módulo sigue una convención consistente de subcarpetas (componentes, composables, interfaces, paginas, servicios, types). Los módulos existentes son: aprobacion, asignacion, base, campos, catalogo, comparador, comun, diseniador, mensaje, operativo y plantilla.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5. Módulo de plantilla y aprobación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Este es el flujo de negocio central de GAN: el diseño de una plantilla de anexo, su revisión y su aprobación/publicación.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5.1 Flujo de negocio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1. Diseño: </w:t>
      </w:r>
      <w:r>
        <w:rPr>
          <w:rFonts w:ascii="Arial" w:cs="Arial" w:eastAsia="Arial" w:hAnsi="Arial"/>
          <w:b w:val="0"/>
          <w:i w:val="0"/>
          <w:smallCaps w:val="0"/>
          <w:strike w:val="0"/>
          <w:color w:val="000000"/>
          <w:sz w:val="21"/>
          <w:szCs w:val="21"/>
          <w:u w:val="none"/>
          <w:shd w:fill="auto" w:val="clear"/>
          <w:vertAlign w:val="baseline"/>
        </w:rPr>
        <w:t xml:space="preserve">El módulo diseniador permite crear/editar el contenido de una plantilla (campos, fórmulas, validaciones).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2. Gestión: </w:t>
      </w:r>
      <w:r>
        <w:rPr>
          <w:rFonts w:ascii="Arial" w:cs="Arial" w:eastAsia="Arial" w:hAnsi="Arial"/>
          <w:b w:val="0"/>
          <w:i w:val="0"/>
          <w:smallCaps w:val="0"/>
          <w:strike w:val="0"/>
          <w:color w:val="000000"/>
          <w:sz w:val="21"/>
          <w:szCs w:val="21"/>
          <w:u w:val="none"/>
          <w:shd w:fill="auto" w:val="clear"/>
          <w:vertAlign w:val="baseline"/>
        </w:rPr>
        <w:t xml:space="preserve">El módulo plantilla (página ListaPlantilla.vue, ruta disenio/formularios) gestiona el ciclo de vida de la plantilla y permite enviarla a revisión.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3. Aprobación: </w:t>
      </w:r>
      <w:r>
        <w:rPr>
          <w:rFonts w:ascii="Arial" w:cs="Arial" w:eastAsia="Arial" w:hAnsi="Arial"/>
          <w:b w:val="0"/>
          <w:i w:val="0"/>
          <w:smallCaps w:val="0"/>
          <w:strike w:val="0"/>
          <w:color w:val="000000"/>
          <w:sz w:val="21"/>
          <w:szCs w:val="21"/>
          <w:u w:val="none"/>
          <w:shd w:fill="auto" w:val="clear"/>
          <w:vertAlign w:val="baseline"/>
        </w:rPr>
        <w:t xml:space="preserve">El módulo aprobacion (página ListaAprobacionPlantilla.vue, ruta supervision/aprobacion) permite a un aprobador revisar, aprobar o rechazar, siempre con comentario.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5.2 Qué backend es dueño de qué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tcW w:w="16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Backend</w:t>
            </w:r>
          </w:p>
        </w:tc>
        <w:tc>
          <w:tcPr>
            <w:tcW w:w="34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Responsabilidad en este flujo</w:t>
            </w:r>
          </w:p>
        </w:tc>
      </w:tr>
      <w:tr>
        <w:tc>
          <w:tcPr>
            <w:tcW w:w="16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sri-anexos-estructura-service</w:t>
            </w:r>
          </w:p>
        </w:tc>
        <w:tc>
          <w:tcPr>
            <w:tcW w:w="3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Dueño del dato de la plantilla: crear, obtener, actualizar, duplicar, eliminar. También expone el arranque del flujo (solicitar revisión).</w:t>
            </w:r>
          </w:p>
        </w:tc>
      </w:tr>
      <w:tr>
        <w:tc>
          <w:tcPr>
            <w:tcW w:w="16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sri-anexos-habilitacion-service</w:t>
            </w:r>
          </w:p>
        </w:tc>
        <w:tc>
          <w:tcPr>
            <w:tcW w:w="3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Dueño de las transiciones de estado del flujo: aprobar, rechazar, publicar, e historial de cambios de estado.</w:t>
            </w:r>
          </w:p>
        </w:tc>
      </w:tr>
      <w:tr>
        <w:tc>
          <w:tcPr>
            <w:tcW w:w="16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sri-anexos-catalogos-service</w:t>
            </w:r>
          </w:p>
        </w:tc>
        <w:tc>
          <w:tcPr>
            <w:tcW w:w="3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Provee catálogos de apoyo, como los "operativos" asociados al usuario.</w:t>
            </w:r>
          </w:p>
        </w:tc>
      </w:tr>
    </w:tbl>
    <w:p>
      <w:pPr>
        <w:spacing w:after="160"/>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5.3 Estados de una plantilla</w:t>
      </w:r>
    </w:p>
    <w:p>
      <w:pPr>
        <w:shd w:fill="F2F2F2" w:val="clear"/>
        <w:spacing w:after="160" w:before="0" w:line="240" w:lineRule="auto"/>
        <w:ind w:left="120" w:right="0" w:firstLine="0"/>
      </w:pPr>
      <w:r>
        <w:rPr>
          <w:rFonts w:ascii="Consolas" w:cs="Consolas" w:hAnsi="Consolas"/>
          <w:color w:val="333333"/>
          <w:sz w:val="18"/>
        </w:rPr>
        <w:t xml:space="preserve">CON (Construccion) -&gt; MOD (Modificacion) -&gt; REV (En revision) -&gt; APR (Aprobada) / MOD (Rechazada) -&gt; PUB (Publicada)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El frontend (PlantillaServicio.ts y AprobacionServicio.ts) invoca las acciones de transición (solicitar revisión, aprobar, rechazar, publicar) contra sri-anexos-habilitacion-service. No son endpoints duplicados con sri-anexos-estructura-service: son dos microservicios que se comunican internamente entre sí para completar la operación — el detalle completo de esa comunicación está en la sección 6.</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6. Comunicación interna entre microservicios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Además de recibir llamadas del frontend, algunos de estos backends se llaman entre sí directamente (servicio a servicio), usando MicroProfile Rest Client. Cada llamada interna propaga el token de acceso (anotación @AccessToken) y está protegida con reintentos, circuit breaker y fallback (MicroProfile Fault Tolerance), para degradarse de forma controlada si el servicio remoto no responde. Esto se verificó leyendo directamente el código de los paquetes infrastructure/remote de cada servicio, no se trata de una suposición.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6.1 Mapa de comunicaciones confirmadas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tcW w:w="13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Origen -&gt; Destino</w:t>
            </w:r>
          </w:p>
        </w:tc>
        <w:tc>
          <w:tcPr>
            <w:tcW w:w="9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Config key</w:t>
            </w:r>
          </w:p>
        </w:tc>
        <w:tc>
          <w:tcPr>
            <w:tcW w:w="28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Propósito</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habilitación -&gt; estructura</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estructura-api</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Al aprobar/rechazar/publicar/solicitar revisión/duplicar (GanPlantillaRemoteClient), habilitación llama de vuelta a estructura para ejecutar el cambio real sobre la plantilla, ya que estructura es la dueña del dato. Uso activo confirmado.</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estructura -&gt; habilitación</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habilitacion-api</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Cliente construido para registrar y consultar historial de estado (GanHistorialRemoteClient) desde estructura. Tiene pruebas unitarias dedicadas y fue modificado hace apenas 2 días — no se encontró invocación activa desde application/service, lo que sugiere desarrollo en curso más que código muerto. A confirmar con el equipo.</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estructura -&gt; catálogos</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catalogos-api</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Tres clientes hacia sri-anexos-catalogos-service: catálogos-detalles, operativos (GanOperativoRemoteClient) y usuarios-anexos (GanUsuarioAnexoRemoteClient). Uso activo confirmado.</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estructura -&gt; alertas/avisos</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alertas-avisos-api</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Envío de notificaciones (GanAlertasAvisosRestClient). Es un sistema externo, fuera de los 4 microservicios GAN.</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catálogos -&gt; administración de aplicaciones</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adm-aplicacion</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sri-anexos-catalogos-service consulta parámetros de ambiente (ParametroAmbienteRemoteClient) a un sistema externo de administración de aplicaciones (CATALOGO_ADM_SERVICE_URL). Es el mismo sistema al que apunta VITE_CATALOGO_ADM_URL del frontend.</w:t>
            </w:r>
          </w:p>
        </w:tc>
      </w:tr>
      <w:tr>
        <w:tc>
          <w:tcPr>
            <w:tcW w:w="13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autorización</w:t>
            </w:r>
          </w:p>
        </w:tc>
        <w:tc>
          <w:tcPr>
            <w:tcW w:w="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w:t>
            </w:r>
          </w:p>
        </w:tc>
        <w:tc>
          <w:tcPr>
            <w:tcW w:w="28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No se encontró ningún paquete infrastructure/remote en este servicio: solo recibe llamadas (del frontend), no llama a otros microservicios.</w:t>
            </w:r>
          </w:p>
        </w:tc>
      </w:tr>
    </w:tbl>
    <w:p>
      <w:pPr>
        <w:spacing w:after="160"/>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6.2 El caso concreto del flujo de aprobación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frontend llama a las transiciones de estado (solicitar revisión, aprobar, rechazar, publicar) sobre sri-anexos-habilitacion-service.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Habilitación valida la transición y llama internamente a estructura (GanPlantillaRemoteService -&gt; GanPlantillaRemoteClient, con reintentos y circuit breaker) para que sea estructura quien efectivamente actualice el estado en su tabla GAN_PLANTILLA.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En paralelo, habilitación registra el evento en su propia tabla de historial (GAN_ESTADO_PLANTILLA_HISTORIAL), que es local a ese servicio.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Estructura además expone sus propios endpoints con la misma forma (/plantillas/{codigo}/solicita-revision, aprueba, rechaza, publica). No son código copiado por error: existen y responden. Lo que no se pudo confirmar es si actualmente los usa algún cliente activo aparte de habilitación — se recomienda confirmarlo con el equipo.</w:t>
      </w:r>
    </w:p>
    <w:p>
      <w:pPr>
        <w:keepNext w:val="0"/>
        <w:keepLines w:val="0"/>
        <w:pageBreakBefore w:val="0"/>
        <w:widowControl w:val="0"/>
        <w:pBdr>
          <w:left w:val="single" w:sz="18" w:space="8" w:color="0000A4"/>
        </w:pBdr>
        <w:shd w:fill="E9E8F8" w:val="clear"/>
        <w:spacing w:after="220" w:before="120" w:line="276" w:lineRule="auto"/>
        <w:ind w:left="140" w:right="0" w:firstLine="0"/>
        <w:jc w:val="both"/>
      </w:pPr>
      <w:r>
        <w:rPr>
          <w:rFonts w:ascii="Arial" w:cs="Arial" w:eastAsia="Arial" w:hAnsi="Arial"/>
          <w:b w:val="1"/>
          <w:i w:val="0"/>
          <w:smallCaps w:val="0"/>
          <w:strike w:val="0"/>
          <w:color w:val="0000A4"/>
          <w:sz w:val="20"/>
          <w:szCs w:val="20"/>
          <w:u w:val="none"/>
          <w:shd w:fill="auto" w:val="clear"/>
          <w:vertAlign w:val="baseline"/>
        </w:rPr>
        <w:t xml:space="preserve">En síntesis: </w:t>
      </w:r>
      <w:r>
        <w:rPr>
          <w:rFonts w:ascii="Arial" w:cs="Arial" w:eastAsia="Arial" w:hAnsi="Arial"/>
          <w:b w:val="0"/>
          <w:i w:val="0"/>
          <w:smallCaps w:val="0"/>
          <w:strike w:val="0"/>
          <w:color w:val="000000"/>
          <w:sz w:val="20"/>
          <w:szCs w:val="20"/>
          <w:u w:val="none"/>
          <w:shd w:fill="auto" w:val="clear"/>
          <w:vertAlign w:val="baseline"/>
        </w:rPr>
        <w:t xml:space="preserve">Habilitación es quien orquesta el flujo de aprobación de cara al frontend, pero delega en estructura la escritura del dato porque estructura es la dueña de la plantilla. No hay duplicación de lógica de negocio entre ambos: hay una separación de responsabilidades (workflow/historial vs. dato maestro) coordinada por llamadas internas.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7. Integración SSO, Keycloak y esquema bearer-only</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Todo el sistema se autentica contra un único proveedor de identidad: Keycloak, en el realm "Intranet" del SRI. Sin embargo, el frontend y los backends usan dos modos de cliente distintos y complementarios.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7.1 Frontend: cliente interactivo (login-required)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cliente Keycloak del frontend se inicializa con onLoad: 'login-required': si no hay sesión activa, el navegador es redirigido a la pantalla de login de Keycloak antes de mostrar la aplicación.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TokenInterceptor.js renueva el token en cada petición (keycloak.updateToken) y agrega la cabecera Authorization: Bearer &lt;token&gt; a cada llamada Axios hacia los backends. Si el token no puede renovarse o el backend responde 401, se fuerza un nuevo login.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identificador de cliente y el servidor SSO cambian según el ambiente (variables VITE_CLIENTE_SSO y VITE_SERVIDOR_SSO en los archivos .env, .env.development, .env.production).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Existe un detector de inactividad (v-idle-3, configurado con VITE_TIEMPO_INACTIVIDAD_USUARIO) pensado para cerrar sesión tras un período sin actividad del usuario.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7.2 Backends: clientes bearer-only</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Los microservicios backend no manejan pantallas de login: actúan como "resource server" puro. En Quarkus esto se configura con quarkus.oidc.application-type=service, que corresponde al modo bearer-only — el servicio únicamente valida el token JWT recibido en la cabecera Authorization, sin redirigir a ningún flujo de login.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Confirmado explícitamente en sri-autorizacion-api: quarkus.oidc.application-type=service, con client-id y client secret propios (SSO_AUTORIZACION_CLIENT_ID / SSO_AUTORIZACION_CLIENT_SECRET), y su README documenta textualmente: "Cliente Keycloak bearer-only dedicado a este microservicio (realm Intranet)".</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mismo patrón se repite en sri-anexos-estructura-service y sri-anexos-habilitacion-service: cada uno valida el token contra el realm Intranet y exige que el "audience" del token coincida con su propio client-id (SSO_ESTRUCTURAS_CLIENT_ID, SSO_HABILITACION_CLIENT_ID).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sri-anexos-catalogos-service sigue el mismo esquema: quarkus.oidc.application-type=service, client-id propio (SSO_CATALOGOS_CLIENT_ID) y sus 7 recursos REST del servicio (catálogos, detalles, operativos, usuarios-anexo, campos de información, mensajes, tipo de dato) marcados con @Authenticated.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7.3 Resumen del esquema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tcW w:w="14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Actor</w:t>
            </w:r>
          </w:p>
        </w:tc>
        <w:tc>
          <w:tcPr>
            <w:tcW w:w="17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Tipo de cliente Keycloak</w:t>
            </w:r>
          </w:p>
        </w:tc>
        <w:tc>
          <w:tcPr>
            <w:tcW w:w="19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Comportamiento</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Frontend (SPA)</w:t>
            </w:r>
          </w:p>
        </w:tc>
        <w:tc>
          <w:tcPr>
            <w:tcW w:w="17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Cliente interactivo / público</w:t>
            </w:r>
          </w:p>
        </w:tc>
        <w:tc>
          <w:tcPr>
            <w:tcW w:w="1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Redirige a login si no hay sesión; renueva token en segundo plano</w:t>
            </w:r>
          </w:p>
        </w:tc>
      </w:tr>
      <w:tr>
        <w:tc>
          <w:tcPr>
            <w:tcW w:w="14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Cada microservicio backend</w:t>
            </w:r>
          </w:p>
        </w:tc>
        <w:tc>
          <w:tcPr>
            <w:tcW w:w="17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Bearer-only (application-type=service)</w:t>
            </w:r>
          </w:p>
        </w:tc>
        <w:tc>
          <w:tcPr>
            <w:tcW w:w="1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No hay login; solo valida el JWT recibido en cada request</w:t>
            </w:r>
          </w:p>
        </w:tc>
      </w:tr>
    </w:tbl>
    <w:p>
      <w:pPr>
        <w:spacing w:after="160"/>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8. Los microservicios backend, uno por uno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8.1 sri-autorizacion-api — Autorización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Gestiona qué puede ver cada usuario dentro de cada aplicación: perfiles, módulos y el árbol de menús asociado a un perfil. En términos simples: es el servicio que responde "este usuario, con este perfil, puede ver estos módulos y este menú".</w:t>
      </w:r>
    </w:p>
    <w:p>
      <w:pPr>
        <w:keepNext w:val="0"/>
        <w:keepLines w:val="0"/>
        <w:pageBreakBefore w:val="0"/>
        <w:widowControl w:val="0"/>
        <w:pBdr>
          <w:left w:val="single" w:sz="18" w:space="8" w:color="B7791F"/>
        </w:pBdr>
        <w:shd w:fill="FFF6E5" w:val="clear"/>
        <w:spacing w:after="220" w:before="120" w:line="276" w:lineRule="auto"/>
        <w:ind w:left="140" w:right="0" w:firstLine="0"/>
        <w:jc w:val="both"/>
      </w:pPr>
      <w:r>
        <w:rPr>
          <w:rFonts w:ascii="Arial" w:cs="Arial" w:eastAsia="Arial" w:hAnsi="Arial"/>
          <w:b w:val="1"/>
          <w:i w:val="0"/>
          <w:smallCaps w:val="0"/>
          <w:strike w:val="0"/>
          <w:color w:val="B7791F"/>
          <w:sz w:val="20"/>
          <w:szCs w:val="20"/>
          <w:u w:val="none"/>
          <w:shd w:fill="auto" w:val="clear"/>
          <w:vertAlign w:val="baseline"/>
        </w:rPr>
        <w:t xml:space="preserve">⚠ Aclaración de nombre: </w:t>
      </w:r>
      <w:r>
        <w:rPr>
          <w:rFonts w:ascii="Arial" w:cs="Arial" w:eastAsia="Arial" w:hAnsi="Arial"/>
          <w:b w:val="0"/>
          <w:i w:val="0"/>
          <w:smallCaps w:val="0"/>
          <w:strike w:val="0"/>
          <w:color w:val="000000"/>
          <w:sz w:val="20"/>
          <w:szCs w:val="20"/>
          <w:u w:val="none"/>
          <w:shd w:fill="auto" w:val="clear"/>
          <w:vertAlign w:val="baseline"/>
        </w:rPr>
        <w:t xml:space="preserve">El README de este proyecto lo describe como servicio "para la autenticación", pero su código real (endpoints y servicios de consulta de perfiles/módulos/menús) muestra que su función es de autorización de accesos, no de autenticación de credenciales — la autenticación real ocurre en Keycloak.</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Endpoints clave: </w:t>
      </w:r>
      <w:r>
        <w:rPr>
          <w:rFonts w:ascii="Arial" w:cs="Arial" w:eastAsia="Arial" w:hAnsi="Arial"/>
          <w:b w:val="0"/>
          <w:i w:val="0"/>
          <w:smallCaps w:val="0"/>
          <w:strike w:val="0"/>
          <w:color w:val="000000"/>
          <w:sz w:val="21"/>
          <w:szCs w:val="21"/>
          <w:u w:val="none"/>
          <w:shd w:fill="auto" w:val="clear"/>
          <w:vertAlign w:val="baseline"/>
        </w:rPr>
        <w:t xml:space="preserve">GET /usuarios/{userName} — estructura completa autorizada del usuario (aplicación, módulos, menús). GET /usuarios/{userName}/perfiles — perfiles del usuario. GET /perfiles/{idPerfil}/modulos — módulos activos de un perfil; GET /perfiles/{idPerfil}/modulos/{idModulo}/menus — árbol de menús.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8.2 sri-anexos-catalogos-service — Catálogos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Administra los catálogos de apoyo que usa el resto del ecosistema GAN: catálogos y sus detalles, operativos, usuarios-anexo, campos de información y mensajes. Su dominio (paquete ec.gob.sri.catalogo) incluye las entidades GanCatalogo, GanCatalogoDetalle, GanTipoDatoCatalogo, GanOperativo, GanUsuarioAnexo, GanCampoInformacion, GanMensaje y AdmAdministracion.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Endpoints clave: </w:t>
      </w:r>
      <w:r>
        <w:rPr>
          <w:rFonts w:ascii="Arial" w:cs="Arial" w:eastAsia="Arial" w:hAnsi="Arial"/>
          <w:b w:val="0"/>
          <w:i w:val="0"/>
          <w:smallCaps w:val="0"/>
          <w:strike w:val="0"/>
          <w:color w:val="000000"/>
          <w:sz w:val="21"/>
          <w:szCs w:val="21"/>
          <w:u w:val="none"/>
          <w:shd w:fill="auto" w:val="clear"/>
          <w:vertAlign w:val="baseline"/>
        </w:rPr>
        <w:t xml:space="preserve">7 recursos REST, cada uno con su propio CRUD: /catalogos, /catalogos-detalles, /operativos, /usuarios-anexos, /campos-informacion, /mensajes, /tipo-dato-catalogos.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Consumido por: </w:t>
      </w:r>
      <w:r>
        <w:rPr>
          <w:rFonts w:ascii="Arial" w:cs="Arial" w:eastAsia="Arial" w:hAnsi="Arial"/>
          <w:b w:val="0"/>
          <w:i w:val="0"/>
          <w:smallCaps w:val="0"/>
          <w:strike w:val="0"/>
          <w:color w:val="000000"/>
          <w:sz w:val="21"/>
          <w:szCs w:val="21"/>
          <w:u w:val="none"/>
          <w:shd w:fill="auto" w:val="clear"/>
          <w:vertAlign w:val="baseline"/>
        </w:rPr>
        <w:t xml:space="preserve">Es consumido por sri-anexos-estructura-service (config catalogos-api) para operativos, catálogos-detalles y usuarios-anexo.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Integración saliente: </w:t>
      </w:r>
      <w:r>
        <w:rPr>
          <w:rFonts w:ascii="Arial" w:cs="Arial" w:eastAsia="Arial" w:hAnsi="Arial"/>
          <w:b w:val="0"/>
          <w:i w:val="0"/>
          <w:smallCaps w:val="0"/>
          <w:strike w:val="0"/>
          <w:color w:val="000000"/>
          <w:sz w:val="21"/>
          <w:szCs w:val="21"/>
          <w:u w:val="none"/>
          <w:shd w:fill="auto" w:val="clear"/>
          <w:vertAlign w:val="baseline"/>
        </w:rPr>
        <w:t xml:space="preserve">Llama a un sistema externo de administración de aplicaciones (config adm-aplicacion) para resolver parámetros de ambiente por aplicación.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8.3 sri-anexos-estructura-service — Estructura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Gestiona la estructura/contenido de la plantilla del anexo (entidad GanPlantilla). Es el dueño del CRUD de la plantilla y del arranque del flujo de revisión.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Endpoints clave: </w:t>
      </w:r>
      <w:r>
        <w:rPr>
          <w:rFonts w:ascii="Arial" w:cs="Arial" w:eastAsia="Arial" w:hAnsi="Arial"/>
          <w:b w:val="0"/>
          <w:i w:val="0"/>
          <w:smallCaps w:val="0"/>
          <w:strike w:val="0"/>
          <w:color w:val="000000"/>
          <w:sz w:val="21"/>
          <w:szCs w:val="21"/>
          <w:u w:val="none"/>
          <w:shd w:fill="auto" w:val="clear"/>
          <w:vertAlign w:val="baseline"/>
        </w:rPr>
        <w:t xml:space="preserve">CRUD completo de /plantillas, POST /{codigo}/duplica, GET /usuarios (plantillas del usuario autenticado), GET /operativos/{codigoOperativo}/lista, y las transiciones solicita-revision / aprueba / rechaza / publica.</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Integraciones salientes: </w:t>
      </w:r>
      <w:r>
        <w:rPr>
          <w:rFonts w:ascii="Arial" w:cs="Arial" w:eastAsia="Arial" w:hAnsi="Arial"/>
          <w:b w:val="0"/>
          <w:i w:val="0"/>
          <w:smallCaps w:val="0"/>
          <w:strike w:val="0"/>
          <w:color w:val="000000"/>
          <w:sz w:val="21"/>
          <w:szCs w:val="21"/>
          <w:u w:val="none"/>
          <w:shd w:fill="auto" w:val="clear"/>
          <w:vertAlign w:val="baseline"/>
        </w:rPr>
        <w:t xml:space="preserve">Se conecta hacia sri-anexos-catalogos-service (catálogos, operativos, usuarios-anexo), un servicio externo de alertas/avisos, y hacia habilitación-service (cliente construido, sin uso activo confirmado).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260" w:line="276" w:lineRule="auto"/>
        <w:ind w:left="0" w:right="0" w:firstLine="0"/>
        <w:jc w:val="left"/>
      </w:pPr>
      <w:r>
        <w:rPr>
          <w:rFonts w:ascii="Arial" w:cs="Arial" w:eastAsia="Arial" w:hAnsi="Arial"/>
          <w:b w:val="1"/>
          <w:i w:val="0"/>
          <w:smallCaps w:val="0"/>
          <w:strike w:val="0"/>
          <w:color w:val="0000A4"/>
          <w:sz w:val="30"/>
          <w:szCs w:val="30"/>
          <w:u w:val="none"/>
          <w:shd w:fill="auto" w:val="clear"/>
          <w:vertAlign w:val="baseline"/>
        </w:rPr>
        <w:t xml:space="preserve">8.4 sri-anexos-habilitacion-service — Habilitación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Es el motor de transiciones de estado y el historial de aprobación de la plantilla (entidad GanEstadoPlantillaHistorial). Registra cada cambio de estado con su comentario y usuario, y es el servicio que el frontend invoca para aprobar/rechazar/publicar (ver sección 6).</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1"/>
          <w:i w:val="0"/>
          <w:smallCaps w:val="0"/>
          <w:strike w:val="0"/>
          <w:color w:val="0000A4"/>
          <w:sz w:val="21"/>
          <w:szCs w:val="21"/>
          <w:u w:val="none"/>
          <w:shd w:fill="auto" w:val="clear"/>
          <w:vertAlign w:val="baseline"/>
        </w:rPr>
        <w:t xml:space="preserve">Endpoints clave: </w:t>
      </w:r>
      <w:r>
        <w:rPr>
          <w:rFonts w:ascii="Arial" w:cs="Arial" w:eastAsia="Arial" w:hAnsi="Arial"/>
          <w:b w:val="0"/>
          <w:i w:val="0"/>
          <w:smallCaps w:val="0"/>
          <w:strike w:val="0"/>
          <w:color w:val="000000"/>
          <w:sz w:val="21"/>
          <w:szCs w:val="21"/>
          <w:u w:val="none"/>
          <w:shd w:fill="auto" w:val="clear"/>
          <w:vertAlign w:val="baseline"/>
        </w:rPr>
        <w:t xml:space="preserve">PATCH .../solicita-revision, .../aprueba (con comentario), .../rechaza (comentario obligatorio), .../publica, GET .../historial (paginado). Los endpoints POST/GET de historial "interno" están documentados explícitamente como uso entre microservicios y son los que llama sri-anexos-estructura-service.</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9. Puntos abiertos a validar con el equipo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0"/>
          <w:smallCaps w:val="0"/>
          <w:strike w:val="0"/>
          <w:color w:val="000000"/>
          <w:sz w:val="22"/>
          <w:szCs w:val="22"/>
          <w:u w:val="none"/>
          <w:shd w:fill="auto" w:val="clear"/>
          <w:vertAlign w:val="baseline"/>
        </w:rPr>
        <w:t xml:space="preserve">Esta lista reúne, en un solo lugar, las inconsistencias o dudas detectadas durante esta revisión que sí se sostienen tras una segunda verificación directa en el código. No son errores confirmados — son señales que el equipo receptor debería aclarar cuanto antes, idealmente en las primeras semanas de transición.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Existe en el repositorio backend una carpeta separada llamada sri-anexos-base-service (root-path /base/api/v1, entidad TipoParametro, README genérico de Quarkus sin terminar). No es el servicio de catálogos — ese es sri-anexos-catalogos-service — y ningún otro backend ni el frontend lo referencian en su configuración. Confirmar con el equipo si sigue vigente o si es un proyecto descontinuado que se puede archivar.</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cliente remoto de historial que existe en sri-anexos-estructura-service (GanHistorialRemoteClient / GanHistorialRemoteService, hacia habilitación) tiene pruebas unitarias propias y fue modificado hace apenas 2 días, pero no aparece invocado desde ningún otro punto del código de ese servicio. Todo indica que es un desarrollo en curso, no código muerto — confirmar con el equipo qué feature estaba conectando.</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Los endpoints propios de transición de estado en sri-anexos-estructura-service (/plantillas/{codigo}/solicita-revision, aprueba, rechaza, publica) existen y responden, pero no se confirmó qué cliente, además de habilitación, los invoca actualmente en producción.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README de sri-autorizacion-api describe el servicio como de "autenticación", lo cual puede confundir a un desarrollador nuevo dado que su función real es de autorización de accesos (perfiles/módulos/menús) — la autenticación ocurre en Keycloak.</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360" w:right="0" w:firstLine="0"/>
        <w:jc w:val="both"/>
      </w:pPr>
      <w:r>
        <w:rPr>
          <w:rFonts w:ascii="Arial" w:cs="Arial" w:eastAsia="Arial" w:hAnsi="Arial"/>
          <w:b w:val="1"/>
          <w:i w:val="0"/>
          <w:smallCaps w:val="0"/>
          <w:strike w:val="0"/>
          <w:color w:val="0000A4"/>
          <w:sz w:val="21"/>
          <w:szCs w:val="21"/>
          <w:u w:val="none"/>
          <w:shd w:fill="auto" w:val="clear"/>
          <w:vertAlign w:val="baseline"/>
        </w:rPr>
        <w:t xml:space="preserve">•  </w:t>
      </w:r>
      <w:r>
        <w:rPr>
          <w:rFonts w:ascii="Arial" w:cs="Arial" w:eastAsia="Arial" w:hAnsi="Arial"/>
          <w:b w:val="0"/>
          <w:i w:val="0"/>
          <w:smallCaps w:val="0"/>
          <w:strike w:val="0"/>
          <w:color w:val="000000"/>
          <w:sz w:val="21"/>
          <w:szCs w:val="21"/>
          <w:u w:val="none"/>
          <w:shd w:fill="auto" w:val="clear"/>
          <w:vertAlign w:val="baseline"/>
        </w:rPr>
        <w:t xml:space="preserve">El componente exacto que consume VITE_TIEMPO_INACTIVIDAD_USUARIO (cierre de sesión por inactividad) no se verificó a fondo en esta revisión; confirmar su comportamiento real antes de asumirlo en producción.</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360" w:line="276" w:lineRule="auto"/>
        <w:ind w:left="0" w:right="0" w:firstLine="0"/>
        <w:jc w:val="left"/>
      </w:pPr>
      <w:r>
        <w:rPr>
          <w:rFonts w:ascii="Arial" w:cs="Arial" w:eastAsia="Arial" w:hAnsi="Arial"/>
          <w:b w:val="1"/>
          <w:i w:val="0"/>
          <w:smallCaps w:val="0"/>
          <w:strike w:val="0"/>
          <w:color w:val="0000A4"/>
          <w:sz w:val="44"/>
          <w:szCs w:val="44"/>
          <w:u w:val="none"/>
          <w:shd w:fill="auto" w:val="clear"/>
          <w:vertAlign w:val="baseline"/>
        </w:rPr>
        <w:t xml:space="preserve">10. Glosario rápido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tcW w:w="11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Término</w:t>
            </w:r>
          </w:p>
        </w:tc>
        <w:tc>
          <w:tcPr>
            <w:tcW w:w="3900" w:type="pct"/>
            <w:shd w:val="clear" w:fill="0000A4"/>
            <w:tcMar>
              <w:top w:w="80" w:type="dxa"/>
              <w:left w:w="120" w:type="dxa"/>
              <w:bottom w:w="80" w:type="dxa"/>
              <w:right w:w="120" w:type="dxa"/>
            </w:tcMar>
          </w:tcPr>
          <w:p>
            <w:pPr>
              <w:spacing w:after="0" w:line="240" w:lineRule="auto"/>
            </w:pPr>
            <w:r>
              <w:rPr>
                <w:rFonts w:ascii="Arial" w:cs="Arial" w:eastAsia="Arial" w:hAnsi="Arial"/>
                <w:b w:val="1"/>
                <w:i w:val="0"/>
                <w:smallCaps w:val="0"/>
                <w:strike w:val="0"/>
                <w:color w:val="FFFFFF"/>
                <w:sz w:val="19"/>
                <w:szCs w:val="19"/>
                <w:u w:val="none"/>
                <w:shd w:fill="auto" w:val="clear"/>
                <w:vertAlign w:val="baseline"/>
              </w:rPr>
              <w:t xml:space="preserve">Significado en este proyecto</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GAN</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Gestión de Anexos — nombre del sistema; también prefijo de las entidades del dominio (GanPlantilla, GanOperativoRemote, etc.)</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Plantilla</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El formulario/anexo diseñado por el usuario, con su estructura de campos</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Operativo</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Concepto de catálogo asociado a la plantilla, consultado desde el servicio de catálogos</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Perfil</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Rol de un usuario que determina qué módulos/menús puede ver (gestionado por sri-autorizacion-api)</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Bearer-only</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Modo de cliente Keycloak en el que el servicio solo valida el token recibido, sin manejar login (application-type=service en Quarkus)</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Realm Intranet</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El "dominio" de Keycloak donde están registrados todos los clientes (frontend y backends) de este ecosistema</w:t>
            </w:r>
          </w:p>
        </w:tc>
      </w:tr>
      <w:tr>
        <w:tc>
          <w:tcPr>
            <w:tcW w:w="11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CON / MOD / REV / APR / PUB</w:t>
            </w:r>
          </w:p>
        </w:tc>
        <w:tc>
          <w:tcPr>
            <w:tcW w:w="3900" w:type="pct"/>
            <w:shd w:val="clear" w:fill="auto"/>
            <w:tcMar>
              <w:top w:w="80" w:type="dxa"/>
              <w:left w:w="120" w:type="dxa"/>
              <w:bottom w:w="80" w:type="dxa"/>
              <w:right w:w="120" w:type="dxa"/>
            </w:tcMar>
          </w:tcPr>
          <w:p>
            <w:pPr>
              <w:spacing w:after="0" w:line="240" w:lineRule="auto"/>
            </w:pPr>
            <w:r>
              <w:rPr>
                <w:rFonts w:ascii="Arial" w:cs="Arial" w:eastAsia="Arial" w:hAnsi="Arial"/>
                <w:b w:val="0"/>
                <w:i w:val="0"/>
                <w:smallCaps w:val="0"/>
                <w:strike w:val="0"/>
                <w:color w:val="202020"/>
                <w:sz w:val="19"/>
                <w:szCs w:val="19"/>
                <w:u w:val="none"/>
                <w:shd w:fill="auto" w:val="clear"/>
                <w:vertAlign w:val="baseline"/>
              </w:rPr>
              <w:t xml:space="preserve">Estados del ciclo de vida de una plantilla: Construcción, Modificación, Revisión, Aprobada, Publicada</w:t>
            </w:r>
          </w:p>
        </w:tc>
      </w:tr>
    </w:tbl>
    <w:p>
      <w:pPr>
        <w:spacing w:after="160"/>
      </w:pP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76" w:lineRule="auto"/>
        <w:ind w:left="0" w:right="0" w:firstLine="0"/>
        <w:jc w:val="both"/>
      </w:pPr>
      <w:r>
        <w:rPr>
          <w:rFonts w:ascii="Arial" w:cs="Arial" w:eastAsia="Arial" w:hAnsi="Arial"/>
          <w:b w:val="0"/>
          <w:i w:val="1"/>
          <w:smallCaps w:val="0"/>
          <w:strike w:val="0"/>
          <w:color w:val="808080"/>
          <w:sz w:val="22"/>
          <w:szCs w:val="22"/>
          <w:u w:val="none"/>
          <w:shd w:fill="auto" w:val="clear"/>
          <w:vertAlign w:val="baseline"/>
        </w:rPr>
        <w:t xml:space="preserve">Fin del documento.</w:t>
      </w:r>
    </w:p>
    <w:sectPr>
      <w:headerReference r:id="rId14" w:type="default"/>
      <w:footerReference r:id="rId15" w:type="default"/>
      <w:pgSz w:h="16838" w:w="11906" w:orient="portrait"/>
      <w:pgMar w:bottom="1440" w:top="1440" w:left="1440" w:right="1440" w:header="0" w:foo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1"/>
        <w:strike w:val="0"/>
        <w:color w:val="ffffff"/>
        <w:sz w:val="22"/>
        <w:szCs w:val="22"/>
        <w:u w:val="none"/>
        <w:shd w:fill="auto" w:val="clear"/>
        <w:vertAlign w:val="baseline"/>
      </w:rPr>
    </w:pPr>
    <w:r w:rsidDel="00000000" w:rsidR="00000000" w:rsidRPr="00000000">
      <w:rPr>
        <w:rFonts w:ascii="Arial" w:cs="Arial" w:eastAsia="Arial" w:hAnsi="Arial"/>
        <w:b w:val="0"/>
        <w:i w:val="0"/>
        <w:smallCaps w:val="1"/>
        <w:strike w:val="0"/>
        <w:color w:val="ffffff"/>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-901699</wp:posOffset>
              </wp:positionH>
              <wp:positionV relativeFrom="paragraph">
                <wp:posOffset>-63499</wp:posOffset>
              </wp:positionV>
              <wp:extent cx="7538720" cy="270783"/>
              <wp:effectExtent b="0" l="0" r="0" t="0"/>
              <wp:wrapNone/>
              <wp:docPr id="1836311799" name=""/>
              <a:graphic>
                <a:graphicData uri="http://schemas.microsoft.com/office/word/2010/wordprocessingShape">
                  <wps:wsp>
                    <wps:cNvSpPr/>
                    <wps:cNvPr id="9" name="Shape 9"/>
                    <wps:spPr>
                      <a:xfrm>
                        <a:off x="1581403" y="3649371"/>
                        <a:ext cx="7529195" cy="261258"/>
                      </a:xfrm>
                      <a:prstGeom prst="rect">
                        <a:avLst/>
                      </a:prstGeom>
                      <a:solidFill>
                        <a:srgbClr val="0000A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-901699</wp:posOffset>
              </wp:positionH>
              <wp:positionV relativeFrom="paragraph">
                <wp:posOffset>-63499</wp:posOffset>
              </wp:positionV>
              <wp:extent cx="7538720" cy="270783"/>
              <wp:effectExtent b="0" l="0" r="0" t="0"/>
              <wp:wrapNone/>
              <wp:docPr id="1836311799"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38720" cy="270783"/>
                      </a:xfrm>
                      <a:prstGeom prst="rect"/>
                      <a:ln/>
                    </pic:spPr>
                  </pic:pic>
                </a:graphicData>
              </a:graphic>
            </wp:anchor>
          </w:drawing>
        </mc:Fallback>
      </mc:AlternateContent>
    </w:r>
  </w:p>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7"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-1028699</wp:posOffset>
              </wp:positionH>
              <wp:positionV relativeFrom="paragraph">
                <wp:posOffset>0</wp:posOffset>
              </wp:positionV>
              <wp:extent cx="7669349" cy="802005"/>
              <wp:effectExtent b="0" l="0" r="0" t="0"/>
              <wp:wrapNone/>
              <wp:docPr id="1836311798" name=""/>
              <a:graphic>
                <a:graphicData uri="http://schemas.microsoft.com/office/word/2010/wordprocessingShape">
                  <wps:wsp>
                    <wps:cNvSpPr/>
                    <wps:cNvPr id="8" name="Shape 8"/>
                    <wps:spPr>
                      <a:xfrm>
                        <a:off x="1516088" y="3383760"/>
                        <a:ext cx="7659824" cy="792480"/>
                      </a:xfrm>
                      <a:prstGeom prst="rect">
                        <a:avLst/>
                      </a:prstGeom>
                      <a:solidFill>
                        <a:srgbClr val="0000A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-1028699</wp:posOffset>
              </wp:positionH>
              <wp:positionV relativeFrom="paragraph">
                <wp:posOffset>0</wp:posOffset>
              </wp:positionV>
              <wp:extent cx="7669349" cy="802005"/>
              <wp:effectExtent b="0" l="0" r="0" t="0"/>
              <wp:wrapNone/>
              <wp:docPr id="1836311798"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669349" cy="802005"/>
                      </a:xfrm>
                      <a:prstGeom prst="rect"/>
                      <a:ln/>
                    </pic:spPr>
                  </pic:pic>
                </a:graphicData>
              </a:graphic>
            </wp:anchor>
          </w:drawing>
        </mc:Fallback>
      </mc:AlternateContent>
    </w:r>
    <w:r w:rsidDel="00000000" w:rsidR="00000000" w:rsidRPr="00000000">
      <w:drawing>
        <wp:anchor allowOverlap="1" behindDoc="1" distB="0" distT="0" distL="0" distR="0" hidden="0" layoutInCell="1" locked="0" relativeHeight="0" simplePos="0">
          <wp:simplePos x="0" y="0"/>
          <wp:positionH relativeFrom="column">
            <wp:posOffset>-599745</wp:posOffset>
          </wp:positionH>
          <wp:positionV relativeFrom="paragraph">
            <wp:posOffset>186117</wp:posOffset>
          </wp:positionV>
          <wp:extent cx="964927" cy="512076"/>
          <wp:effectExtent b="0" l="0" r="0" t="0"/>
          <wp:wrapNone/>
          <wp:docPr id="1836311802" name="image6.png"/>
          <a:graphic>
            <a:graphicData uri="http://schemas.openxmlformats.org/drawingml/2006/picture">
              <pic:pic>
                <pic:nvPicPr>
                  <pic:cNvPr id="0" name="image6.png"/>
                  <pic:cNvPicPr preferRelativeResize="0"/>
                </pic:nvPicPr>
                <pic:blipFill>
                  <a:blip r:embed="rId2"/>
                  <a:srcRect b="0" l="0" r="0" t="0"/>
                  <a:stretch>
                    <a:fillRect/>
                  </a:stretch>
                </pic:blipFill>
                <pic:spPr>
                  <a:xfrm>
                    <a:off x="0" y="0"/>
                    <a:ext cx="964927" cy="512076"/>
                  </a:xfrm>
                  <a:prstGeom prst="rect"/>
                  <a:ln/>
                </pic:spPr>
              </pic:pic>
            </a:graphicData>
          </a:graphic>
        </wp:anchor>
      </w:drawing>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3162300</wp:posOffset>
              </wp:positionH>
              <wp:positionV relativeFrom="paragraph">
                <wp:posOffset>355600</wp:posOffset>
              </wp:positionV>
              <wp:extent cx="3086100" cy="709295"/>
              <wp:effectExtent b="0" l="0" r="0" t="0"/>
              <wp:wrapNone/>
              <wp:docPr id="1836311792" name=""/>
              <a:graphic>
                <a:graphicData uri="http://schemas.microsoft.com/office/word/2010/wordprocessingShape">
                  <wps:wsp>
                    <wps:cNvSpPr/>
                    <wps:cNvPr id="2" name="Shape 2"/>
                    <wps:spPr>
                      <a:xfrm>
                        <a:off x="3817620" y="3439980"/>
                        <a:ext cx="3056760" cy="68004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44"/>
                              <w:vertAlign w:val="baseline"/>
                            </w:rPr>
                            <w:t xml:space="preserve">Título del </w:t>
                          </w:r>
                          <w:r w:rsidDel="00000000" w:rsidR="00000000" w:rsidRPr="00000000">
                            <w:rPr>
                              <w:rFonts w:ascii="Arial" w:cs="Arial" w:eastAsia="Arial" w:hAnsi="Arial"/>
                              <w:b w:val="1"/>
                              <w:i w:val="0"/>
                              <w:smallCaps w:val="0"/>
                              <w:strike w:val="0"/>
                              <w:color w:val="ffffff"/>
                              <w:sz w:val="44"/>
                              <w:vertAlign w:val="baseline"/>
                            </w:rPr>
                            <w:t xml:space="preserve">informe</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3162300</wp:posOffset>
              </wp:positionH>
              <wp:positionV relativeFrom="paragraph">
                <wp:posOffset>355600</wp:posOffset>
              </wp:positionV>
              <wp:extent cx="3086100" cy="709295"/>
              <wp:effectExtent b="0" l="0" r="0" t="0"/>
              <wp:wrapNone/>
              <wp:docPr id="1836311792"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3086100" cy="709295"/>
                      </a:xfrm>
                      <a:prstGeom prst="rect"/>
                      <a:ln/>
                    </pic:spPr>
                  </pic:pic>
                </a:graphicData>
              </a:graphic>
            </wp:anchor>
          </w:drawing>
        </mc:Fallback>
      </mc:AlternateConten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widowControl w:val="0"/>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00" w:line="240" w:lineRule="auto"/>
      <w:ind w:left="0" w:right="0" w:firstLine="0"/>
      <w:jc w:val="left"/>
    </w:pPr>
    <w:rPr>
      <w:rFonts w:ascii="Arial" w:cs="Arial" w:eastAsia="Arial" w:hAnsi="Arial"/>
      <w:b w:val="0"/>
      <w:i w:val="0"/>
      <w:smallCaps w:val="0"/>
      <w:strike w:val="0"/>
      <w:color w:val="000000"/>
      <w:sz w:val="40"/>
      <w:szCs w:val="40"/>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0"/>
      <w:i w:val="0"/>
      <w:smallCaps w:val="0"/>
      <w:strike w:val="0"/>
      <w:color w:val="000000"/>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40" w:lineRule="auto"/>
      <w:ind w:left="0" w:right="0" w:firstLine="0"/>
      <w:jc w:val="left"/>
    </w:pPr>
    <w:rPr>
      <w:rFonts w:ascii="Arial" w:cs="Arial" w:eastAsia="Arial" w:hAnsi="Arial"/>
      <w:b w:val="0"/>
      <w:i w:val="0"/>
      <w:smallCaps w:val="0"/>
      <w:strike w:val="0"/>
      <w:color w:val="434343"/>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Arial" w:cs="Arial" w:eastAsia="Arial" w:hAnsi="Arial"/>
      <w:b w:val="0"/>
      <w:i w:val="0"/>
      <w:smallCaps w:val="0"/>
      <w:strike w:val="0"/>
      <w:color w:val="666666"/>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0"/>
      <w:i w:val="0"/>
      <w:smallCaps w:val="0"/>
      <w:strike w:val="0"/>
      <w:color w:val="666666"/>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0"/>
      <w:i w:val="1"/>
      <w:smallCaps w:val="0"/>
      <w:strike w:val="0"/>
      <w:color w:val="666666"/>
      <w:sz w:val="22"/>
      <w:szCs w:val="22"/>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i w:val="0"/>
      <w:smallCaps w:val="0"/>
      <w:strike w:val="0"/>
      <w:color w:val="000000"/>
      <w:sz w:val="52"/>
      <w:szCs w:val="52"/>
      <w:u w:val="none"/>
      <w:shd w:fill="auto" w:val="clear"/>
      <w:vertAlign w:val="baseline"/>
    </w:rPr>
  </w:style>
  <w:style w:type="paragraph" w:styleId="Normal" w:default="1">
    <w:name w:val="Normal"/>
    <w:qFormat w:val="1"/>
  </w:style>
  <w:style w:type="paragraph" w:styleId="Ttulo1">
    <w:name w:val="heading 1"/>
    <w:basedOn w:val="Normal1"/>
    <w:next w:val="Normal1"/>
    <w:pPr>
      <w:keepNext w:val="1"/>
      <w:keepLines w:val="1"/>
      <w:widowControl w:val="1"/>
      <w:pBdr>
        <w:top w:space="0" w:sz="0" w:val="nil"/>
        <w:left w:space="0" w:sz="0" w:val="nil"/>
        <w:bottom w:space="0" w:sz="0" w:val="nil"/>
        <w:right w:space="0" w:sz="0" w:val="nil"/>
        <w:between w:space="0" w:sz="0" w:val="nil"/>
      </w:pBdr>
      <w:spacing w:after="120" w:before="400" w:line="240" w:lineRule="auto"/>
      <w:outlineLvl w:val="0"/>
    </w:pPr>
    <w:rPr>
      <w:color w:val="000000"/>
      <w:sz w:val="40"/>
      <w:szCs w:val="40"/>
    </w:rPr>
  </w:style>
  <w:style w:type="paragraph" w:styleId="Ttulo2">
    <w:name w:val="heading 2"/>
    <w:basedOn w:val="Normal1"/>
    <w:next w:val="Normal1"/>
    <w:pPr>
      <w:keepNext w:val="1"/>
      <w:keepLines w:val="1"/>
      <w:widowControl w:val="1"/>
      <w:pBdr>
        <w:top w:space="0" w:sz="0" w:val="nil"/>
        <w:left w:space="0" w:sz="0" w:val="nil"/>
        <w:bottom w:space="0" w:sz="0" w:val="nil"/>
        <w:right w:space="0" w:sz="0" w:val="nil"/>
        <w:between w:space="0" w:sz="0" w:val="nil"/>
      </w:pBdr>
      <w:spacing w:after="120" w:before="360" w:line="240" w:lineRule="auto"/>
      <w:outlineLvl w:val="1"/>
    </w:pPr>
    <w:rPr>
      <w:color w:val="000000"/>
      <w:sz w:val="32"/>
      <w:szCs w:val="32"/>
    </w:rPr>
  </w:style>
  <w:style w:type="paragraph" w:styleId="Ttulo3">
    <w:name w:val="heading 3"/>
    <w:basedOn w:val="Normal1"/>
    <w:next w:val="Normal1"/>
    <w:pPr>
      <w:keepNext w:val="1"/>
      <w:keepLines w:val="1"/>
      <w:widowControl w:val="1"/>
      <w:pBdr>
        <w:top w:space="0" w:sz="0" w:val="nil"/>
        <w:left w:space="0" w:sz="0" w:val="nil"/>
        <w:bottom w:space="0" w:sz="0" w:val="nil"/>
        <w:right w:space="0" w:sz="0" w:val="nil"/>
        <w:between w:space="0" w:sz="0" w:val="nil"/>
      </w:pBdr>
      <w:spacing w:after="80" w:before="320" w:line="240" w:lineRule="auto"/>
      <w:outlineLvl w:val="2"/>
    </w:pPr>
    <w:rPr>
      <w:color w:val="434343"/>
      <w:sz w:val="28"/>
      <w:szCs w:val="28"/>
    </w:rPr>
  </w:style>
  <w:style w:type="paragraph" w:styleId="Ttulo4">
    <w:name w:val="heading 4"/>
    <w:basedOn w:val="Normal1"/>
    <w:next w:val="Normal1"/>
    <w:pPr>
      <w:keepNext w:val="1"/>
      <w:keepLines w:val="1"/>
      <w:widowControl w:val="1"/>
      <w:pBdr>
        <w:top w:space="0" w:sz="0" w:val="nil"/>
        <w:left w:space="0" w:sz="0" w:val="nil"/>
        <w:bottom w:space="0" w:sz="0" w:val="nil"/>
        <w:right w:space="0" w:sz="0" w:val="nil"/>
        <w:between w:space="0" w:sz="0" w:val="nil"/>
      </w:pBdr>
      <w:spacing w:after="80" w:before="280" w:line="240" w:lineRule="auto"/>
      <w:outlineLvl w:val="3"/>
    </w:pPr>
    <w:rPr>
      <w:color w:val="666666"/>
      <w:sz w:val="24"/>
      <w:szCs w:val="24"/>
    </w:rPr>
  </w:style>
  <w:style w:type="paragraph" w:styleId="Ttulo5">
    <w:name w:val="heading 5"/>
    <w:basedOn w:val="Normal1"/>
    <w:next w:val="Normal1"/>
    <w:pPr>
      <w:keepNext w:val="1"/>
      <w:keepLines w:val="1"/>
      <w:widowControl w:val="1"/>
      <w:pBdr>
        <w:top w:space="0" w:sz="0" w:val="nil"/>
        <w:left w:space="0" w:sz="0" w:val="nil"/>
        <w:bottom w:space="0" w:sz="0" w:val="nil"/>
        <w:right w:space="0" w:sz="0" w:val="nil"/>
        <w:between w:space="0" w:sz="0" w:val="nil"/>
      </w:pBdr>
      <w:spacing w:after="80" w:before="240" w:line="240" w:lineRule="auto"/>
      <w:outlineLvl w:val="4"/>
    </w:pPr>
    <w:rPr>
      <w:color w:val="666666"/>
    </w:rPr>
  </w:style>
  <w:style w:type="paragraph" w:styleId="Ttulo6">
    <w:name w:val="heading 6"/>
    <w:basedOn w:val="Normal1"/>
    <w:next w:val="Normal1"/>
    <w:pPr>
      <w:keepNext w:val="1"/>
      <w:keepLines w:val="1"/>
      <w:widowControl w:val="1"/>
      <w:pBdr>
        <w:top w:space="0" w:sz="0" w:val="nil"/>
        <w:left w:space="0" w:sz="0" w:val="nil"/>
        <w:bottom w:space="0" w:sz="0" w:val="nil"/>
        <w:right w:space="0" w:sz="0" w:val="nil"/>
        <w:between w:space="0" w:sz="0" w:val="nil"/>
      </w:pBdr>
      <w:spacing w:after="80" w:before="240" w:line="240" w:lineRule="auto"/>
      <w:outlineLvl w:val="5"/>
    </w:pPr>
    <w:rPr>
      <w:i w:val="1"/>
      <w:color w:val="66666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Normal1" w:customStyle="1">
    <w:name w:val="Norm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1"/>
    <w:next w:val="Normal1"/>
    <w:pPr>
      <w:keepNext w:val="1"/>
      <w:keepLines w:val="1"/>
      <w:widowControl w:val="1"/>
      <w:pBdr>
        <w:top w:space="0" w:sz="0" w:val="nil"/>
        <w:left w:space="0" w:sz="0" w:val="nil"/>
        <w:bottom w:space="0" w:sz="0" w:val="nil"/>
        <w:right w:space="0" w:sz="0" w:val="nil"/>
        <w:between w:space="0" w:sz="0" w:val="nil"/>
      </w:pBdr>
      <w:spacing w:after="60" w:line="240" w:lineRule="auto"/>
    </w:pPr>
    <w:rPr>
      <w:color w:val="000000"/>
      <w:sz w:val="52"/>
      <w:szCs w:val="52"/>
    </w:rPr>
  </w:style>
  <w:style w:type="paragraph" w:styleId="Subttulo">
    <w:name w:val="Subtitle"/>
    <w:basedOn w:val="Normal1"/>
    <w:next w:val="Normal1"/>
    <w:pPr>
      <w:keepNext w:val="1"/>
      <w:keepLines w:val="1"/>
      <w:widowControl w:val="1"/>
      <w:pBdr>
        <w:top w:space="0" w:sz="0" w:val="nil"/>
        <w:left w:space="0" w:sz="0" w:val="nil"/>
        <w:bottom w:space="0" w:sz="0" w:val="nil"/>
        <w:right w:space="0" w:sz="0" w:val="nil"/>
        <w:between w:space="0" w:sz="0" w:val="nil"/>
      </w:pBdr>
      <w:spacing w:after="320" w:line="240" w:lineRule="auto"/>
    </w:pPr>
    <w:rPr>
      <w:color w:val="666666"/>
      <w:sz w:val="30"/>
      <w:szCs w:val="30"/>
    </w:rPr>
  </w:style>
  <w:style w:type="paragraph" w:styleId="Textodeglobo">
    <w:name w:val="Balloon Text"/>
    <w:basedOn w:val="Normal"/>
    <w:link w:val="TextodegloboCar"/>
    <w:uiPriority w:val="99"/>
    <w:semiHidden w:val="1"/>
    <w:unhideWhenUsed w:val="1"/>
    <w:rsid w:val="00155519"/>
    <w:pPr>
      <w:spacing w:line="240" w:lineRule="auto"/>
    </w:pPr>
    <w:rPr>
      <w:rFonts w:ascii="Lucida Grande" w:hAnsi="Lucida Grande"/>
      <w:sz w:val="18"/>
      <w:szCs w:val="18"/>
    </w:rPr>
  </w:style>
  <w:style w:type="character" w:styleId="TextodegloboCar" w:customStyle="1">
    <w:name w:val="Texto de globo Car"/>
    <w:basedOn w:val="Fuentedeprrafopredeter"/>
    <w:link w:val="Textodeglobo"/>
    <w:uiPriority w:val="99"/>
    <w:semiHidden w:val="1"/>
    <w:rsid w:val="00155519"/>
    <w:rPr>
      <w:rFonts w:ascii="Lucida Grande" w:hAnsi="Lucida Grande"/>
      <w:sz w:val="18"/>
      <w:szCs w:val="18"/>
    </w:rPr>
  </w:style>
  <w:style w:type="paragraph" w:styleId="Encabezado">
    <w:name w:val="header"/>
    <w:basedOn w:val="Normal"/>
    <w:link w:val="EncabezadoCar"/>
    <w:uiPriority w:val="99"/>
    <w:unhideWhenUsed w:val="1"/>
    <w:rsid w:val="00155519"/>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155519"/>
  </w:style>
  <w:style w:type="paragraph" w:styleId="Piedepgina">
    <w:name w:val="footer"/>
    <w:basedOn w:val="Normal"/>
    <w:link w:val="PiedepginaCar"/>
    <w:uiPriority w:val="99"/>
    <w:unhideWhenUsed w:val="1"/>
    <w:rsid w:val="00155519"/>
    <w:pPr>
      <w:tabs>
        <w:tab w:val="center" w:pos="4252"/>
        <w:tab w:val="right" w:pos="8504"/>
      </w:tabs>
      <w:spacing w:line="240" w:lineRule="auto"/>
    </w:pPr>
  </w:style>
  <w:style w:type="character" w:styleId="PiedepginaCar" w:customStyle="1">
    <w:name w:val="Pie de página Car"/>
    <w:basedOn w:val="Fuentedeprrafopredeter"/>
    <w:link w:val="Piedepgina"/>
    <w:uiPriority w:val="99"/>
    <w:rsid w:val="00155519"/>
  </w:style>
  <w:style w:type="paragraph" w:styleId="Sinespaciado">
    <w:name w:val="No Spacing"/>
    <w:link w:val="SinespaciadoCar"/>
    <w:uiPriority w:val="1"/>
    <w:qFormat w:val="1"/>
    <w:rsid w:val="00BB27C0"/>
    <w:pPr>
      <w:widowControl w:val="1"/>
      <w:spacing w:line="240" w:lineRule="auto"/>
    </w:pPr>
    <w:rPr>
      <w:rFonts w:asciiTheme="minorHAnsi" w:cstheme="minorBidi" w:eastAsiaTheme="minorEastAsia" w:hAnsiTheme="minorHAnsi"/>
      <w:lang w:eastAsia="zh-CN" w:val="en-US"/>
    </w:rPr>
  </w:style>
  <w:style w:type="character" w:styleId="SinespaciadoCar" w:customStyle="1">
    <w:name w:val="Sin espaciado Car"/>
    <w:basedOn w:val="Fuentedeprrafopredeter"/>
    <w:link w:val="Sinespaciado"/>
    <w:uiPriority w:val="1"/>
    <w:rsid w:val="00BB27C0"/>
    <w:rPr>
      <w:rFonts w:asciiTheme="minorHAnsi" w:cstheme="minorBidi" w:eastAsiaTheme="minorEastAsia" w:hAnsiTheme="minorHAnsi"/>
      <w:lang w:eastAsia="zh-CN" w:val="en-US"/>
    </w:rPr>
  </w:style>
  <w:style w:type="paragraph" w:styleId="Textoindependiente">
    <w:name w:val="Body Text"/>
    <w:basedOn w:val="Normal"/>
    <w:link w:val="TextoindependienteCar"/>
    <w:uiPriority w:val="1"/>
    <w:qFormat w:val="1"/>
    <w:rsid w:val="00BB27C0"/>
    <w:pPr>
      <w:autoSpaceDE w:val="0"/>
      <w:autoSpaceDN w:val="0"/>
      <w:spacing w:line="240" w:lineRule="auto"/>
    </w:pPr>
    <w:rPr>
      <w:rFonts w:ascii="Arial MT" w:cs="Arial MT" w:eastAsia="Arial MT" w:hAnsi="Arial MT"/>
      <w:sz w:val="24"/>
      <w:szCs w:val="24"/>
      <w:lang w:eastAsia="en-US" w:val="es-ES"/>
    </w:rPr>
  </w:style>
  <w:style w:type="character" w:styleId="TextoindependienteCar" w:customStyle="1">
    <w:name w:val="Texto independiente Car"/>
    <w:basedOn w:val="Fuentedeprrafopredeter"/>
    <w:link w:val="Textoindependiente"/>
    <w:uiPriority w:val="1"/>
    <w:rsid w:val="00BB27C0"/>
    <w:rPr>
      <w:rFonts w:ascii="Arial MT" w:cs="Arial MT" w:eastAsia="Arial MT" w:hAnsi="Arial MT"/>
      <w:sz w:val="24"/>
      <w:szCs w:val="24"/>
      <w:lang w:eastAsia="en-US" w:val="es-ES"/>
    </w:rPr>
  </w:style>
  <w:style w:type="character" w:styleId="Hipervnculo">
    <w:name w:val="Hyperlink"/>
    <w:basedOn w:val="Fuentedeprrafopredeter"/>
    <w:uiPriority w:val="99"/>
    <w:unhideWhenUsed w:val="1"/>
    <w:rsid w:val="003D76A5"/>
    <w:rPr>
      <w:color w:val="0000ff" w:themeColor="hyperlink"/>
      <w:u w:val="single"/>
    </w:rPr>
  </w:style>
  <w:style w:type="character" w:styleId="Mencinsinresolver">
    <w:name w:val="Unresolved Mention"/>
    <w:basedOn w:val="Fuentedeprrafopredeter"/>
    <w:uiPriority w:val="99"/>
    <w:semiHidden w:val="1"/>
    <w:unhideWhenUsed w:val="1"/>
    <w:rsid w:val="003D76A5"/>
    <w:rPr>
      <w:color w:val="605e5c"/>
      <w:shd w:color="auto" w:fill="e1dfdd" w:val="clear"/>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 Id="rId8"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6.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jZD4pgujd30FoDxRNiKVPMcnUw==">CgMxLjAyCGguZ2pkZ3hzOAByITFtbjM1UFJ0bzF5VjV3eTZ4SFVOdHBTR1gxaXIxZHQ3aA==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2023-06-01T18:46:00Z</dcterms:created>
</cp:coreProperties>
</file>